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F29F" w14:textId="0DAB220A" w:rsidR="00166521" w:rsidRPr="00D54E57" w:rsidRDefault="007F793D" w:rsidP="0016652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04BAE">
        <w:rPr>
          <w:rFonts w:ascii="Arial" w:hAnsi="Arial" w:cs="Arial"/>
        </w:rPr>
        <w:t xml:space="preserve"> </w:t>
      </w:r>
    </w:p>
    <w:p w14:paraId="5AFF8C83" w14:textId="77777777" w:rsidR="00166521" w:rsidRDefault="00166521" w:rsidP="00166521">
      <w:pPr>
        <w:jc w:val="center"/>
        <w:rPr>
          <w:rFonts w:ascii="Arial" w:hAnsi="Arial" w:cs="Arial"/>
          <w:b/>
          <w:bCs w:val="0"/>
          <w:sz w:val="32"/>
          <w:szCs w:val="32"/>
        </w:rPr>
      </w:pPr>
    </w:p>
    <w:p w14:paraId="18BE53C3" w14:textId="30DA2405" w:rsidR="00166521" w:rsidRPr="00D54E57" w:rsidRDefault="00166521" w:rsidP="00166521">
      <w:pPr>
        <w:jc w:val="center"/>
        <w:rPr>
          <w:rFonts w:ascii="Arial" w:hAnsi="Arial" w:cs="Arial"/>
          <w:b/>
          <w:sz w:val="24"/>
          <w:szCs w:val="36"/>
        </w:rPr>
      </w:pPr>
      <w:r>
        <w:rPr>
          <w:rFonts w:ascii="Arial" w:hAnsi="Arial" w:cs="Arial"/>
          <w:b/>
          <w:bCs w:val="0"/>
          <w:sz w:val="32"/>
          <w:szCs w:val="32"/>
        </w:rPr>
        <w:t>4th</w:t>
      </w:r>
      <w:r w:rsidRPr="00D54E57">
        <w:rPr>
          <w:rFonts w:ascii="Arial" w:hAnsi="Arial" w:cs="Arial"/>
          <w:b/>
          <w:bCs w:val="0"/>
          <w:sz w:val="32"/>
          <w:szCs w:val="32"/>
        </w:rPr>
        <w:t xml:space="preserve"> </w:t>
      </w:r>
      <w:r>
        <w:rPr>
          <w:rFonts w:ascii="Arial" w:hAnsi="Arial" w:cs="Arial"/>
          <w:b/>
          <w:bCs w:val="0"/>
          <w:sz w:val="32"/>
          <w:szCs w:val="32"/>
        </w:rPr>
        <w:t>CCS Symposium</w:t>
      </w:r>
      <w:r w:rsidRPr="00D54E57">
        <w:rPr>
          <w:rFonts w:ascii="Arial" w:hAnsi="Arial" w:cs="Arial"/>
          <w:b/>
          <w:bCs w:val="0"/>
          <w:sz w:val="32"/>
          <w:szCs w:val="32"/>
        </w:rPr>
        <w:t xml:space="preserve">: </w:t>
      </w:r>
      <w:r>
        <w:rPr>
          <w:rFonts w:ascii="Arial" w:hAnsi="Arial" w:cs="Arial"/>
          <w:b/>
          <w:bCs w:val="0"/>
          <w:sz w:val="32"/>
          <w:szCs w:val="32"/>
        </w:rPr>
        <w:t>Effective</w:t>
      </w:r>
      <w:r w:rsidR="00CF2B53">
        <w:rPr>
          <w:rFonts w:ascii="Arial" w:hAnsi="Arial" w:cs="Arial"/>
          <w:b/>
          <w:bCs w:val="0"/>
          <w:sz w:val="32"/>
          <w:szCs w:val="32"/>
        </w:rPr>
        <w:t xml:space="preserve"> </w:t>
      </w:r>
      <w:r>
        <w:rPr>
          <w:rFonts w:ascii="Arial" w:hAnsi="Arial" w:cs="Arial"/>
          <w:b/>
          <w:bCs w:val="0"/>
          <w:sz w:val="32"/>
          <w:szCs w:val="32"/>
        </w:rPr>
        <w:t>Characterisation of Storage Site</w:t>
      </w:r>
      <w:r w:rsidR="003F5BE0">
        <w:rPr>
          <w:rFonts w:ascii="Arial" w:hAnsi="Arial" w:cs="Arial"/>
          <w:b/>
          <w:bCs w:val="0"/>
          <w:sz w:val="32"/>
          <w:szCs w:val="32"/>
        </w:rPr>
        <w:t>s</w:t>
      </w:r>
    </w:p>
    <w:p w14:paraId="58A00EF8" w14:textId="4778DCEF" w:rsidR="00166521" w:rsidRPr="00D54E57" w:rsidRDefault="00166521" w:rsidP="00166521">
      <w:pPr>
        <w:jc w:val="center"/>
        <w:rPr>
          <w:rFonts w:ascii="Arial" w:hAnsi="Arial" w:cs="Arial"/>
          <w:b/>
          <w:sz w:val="22"/>
          <w:szCs w:val="36"/>
        </w:rPr>
      </w:pPr>
      <w:r>
        <w:rPr>
          <w:rFonts w:ascii="Arial" w:hAnsi="Arial" w:cs="Arial"/>
          <w:b/>
          <w:sz w:val="28"/>
          <w:szCs w:val="36"/>
        </w:rPr>
        <w:t>2</w:t>
      </w:r>
      <w:r w:rsidRPr="00D54E57">
        <w:rPr>
          <w:rFonts w:ascii="Arial" w:hAnsi="Arial" w:cs="Arial"/>
          <w:b/>
          <w:sz w:val="28"/>
          <w:szCs w:val="36"/>
        </w:rPr>
        <w:t>-</w:t>
      </w:r>
      <w:r>
        <w:rPr>
          <w:rFonts w:ascii="Arial" w:hAnsi="Arial" w:cs="Arial"/>
          <w:b/>
          <w:sz w:val="28"/>
          <w:szCs w:val="36"/>
        </w:rPr>
        <w:t>3</w:t>
      </w:r>
      <w:r w:rsidRPr="00D54E57">
        <w:rPr>
          <w:rFonts w:ascii="Arial" w:hAnsi="Arial" w:cs="Arial"/>
          <w:b/>
          <w:sz w:val="28"/>
          <w:szCs w:val="36"/>
        </w:rPr>
        <w:t xml:space="preserve"> September 2025</w:t>
      </w:r>
    </w:p>
    <w:p w14:paraId="0F6B239A" w14:textId="77777777" w:rsidR="00166521" w:rsidRPr="00D54E57" w:rsidRDefault="00166521" w:rsidP="00166521">
      <w:pPr>
        <w:jc w:val="center"/>
        <w:rPr>
          <w:rFonts w:ascii="Arial" w:hAnsi="Arial" w:cs="Arial"/>
          <w:szCs w:val="36"/>
        </w:rPr>
      </w:pPr>
    </w:p>
    <w:p w14:paraId="1C4186D1" w14:textId="77777777" w:rsidR="00166521" w:rsidRPr="00D54E57" w:rsidRDefault="00166521" w:rsidP="00166521">
      <w:pPr>
        <w:jc w:val="center"/>
        <w:rPr>
          <w:rFonts w:ascii="Arial" w:hAnsi="Arial" w:cs="Arial"/>
          <w:i/>
          <w:sz w:val="24"/>
          <w:szCs w:val="36"/>
        </w:rPr>
      </w:pPr>
      <w:r w:rsidRPr="00D54E57">
        <w:rPr>
          <w:rFonts w:ascii="Arial" w:hAnsi="Arial" w:cs="Arial"/>
          <w:i/>
          <w:sz w:val="24"/>
          <w:szCs w:val="36"/>
        </w:rPr>
        <w:t>The Geological Society, Burlington House</w:t>
      </w:r>
      <w:r>
        <w:rPr>
          <w:rFonts w:ascii="Arial" w:hAnsi="Arial" w:cs="Arial"/>
          <w:i/>
          <w:sz w:val="24"/>
          <w:szCs w:val="36"/>
        </w:rPr>
        <w:t xml:space="preserve"> and Zoom</w:t>
      </w:r>
    </w:p>
    <w:p w14:paraId="18DDB86D" w14:textId="77777777" w:rsidR="00166521" w:rsidRPr="00D54E57" w:rsidRDefault="00166521" w:rsidP="00166521">
      <w:pPr>
        <w:jc w:val="center"/>
        <w:rPr>
          <w:rFonts w:ascii="Arial" w:hAnsi="Arial" w:cs="Arial"/>
          <w:sz w:val="24"/>
          <w:szCs w:val="36"/>
        </w:rPr>
      </w:pPr>
    </w:p>
    <w:p w14:paraId="0CF8DF6E" w14:textId="5A4E7251" w:rsidR="00166521" w:rsidRDefault="003B1F24" w:rsidP="0016652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Final</w:t>
      </w:r>
      <w:r w:rsidR="00166521">
        <w:rPr>
          <w:rFonts w:ascii="Arial" w:hAnsi="Arial" w:cs="Arial"/>
          <w:b/>
          <w:sz w:val="24"/>
        </w:rPr>
        <w:t xml:space="preserve"> </w:t>
      </w:r>
      <w:r w:rsidR="00166521" w:rsidRPr="00D54E57">
        <w:rPr>
          <w:rFonts w:ascii="Arial" w:hAnsi="Arial" w:cs="Arial"/>
          <w:b/>
          <w:sz w:val="24"/>
        </w:rPr>
        <w:t>Programme</w:t>
      </w:r>
    </w:p>
    <w:p w14:paraId="42A02A6B" w14:textId="77777777" w:rsidR="00166521" w:rsidRPr="00D54E57" w:rsidRDefault="00166521" w:rsidP="00166521">
      <w:pPr>
        <w:jc w:val="center"/>
        <w:rPr>
          <w:rFonts w:ascii="Arial" w:hAnsi="Arial" w:cs="Arial"/>
          <w:sz w:val="14"/>
        </w:rPr>
      </w:pPr>
    </w:p>
    <w:p w14:paraId="15883233" w14:textId="77777777" w:rsidR="00166521" w:rsidRPr="00D54E57" w:rsidRDefault="00166521" w:rsidP="00166521">
      <w:pPr>
        <w:rPr>
          <w:rFonts w:ascii="Arial" w:hAnsi="Arial" w:cs="Arial"/>
        </w:rPr>
      </w:pP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8661"/>
      </w:tblGrid>
      <w:tr w:rsidR="00166521" w:rsidRPr="002579F6" w14:paraId="3C203218" w14:textId="77777777" w:rsidTr="6C11CAFA">
        <w:trPr>
          <w:cantSplit/>
          <w:trHeight w:val="351"/>
          <w:jc w:val="center"/>
        </w:trPr>
        <w:tc>
          <w:tcPr>
            <w:tcW w:w="9824" w:type="dxa"/>
            <w:gridSpan w:val="2"/>
            <w:tcBorders>
              <w:bottom w:val="single" w:sz="4" w:space="0" w:color="auto"/>
            </w:tcBorders>
            <w:shd w:val="clear" w:color="auto" w:fill="FFF2CC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4FA9483" w14:textId="77777777" w:rsidR="00166521" w:rsidRPr="00FC31A6" w:rsidRDefault="00166521" w:rsidP="002579F6">
            <w:pPr>
              <w:jc w:val="center"/>
              <w:rPr>
                <w:rFonts w:ascii="Arial Narrow" w:eastAsia="Arial Unicode MS" w:hAnsi="Arial Narrow"/>
                <w:b/>
                <w:bCs w:val="0"/>
                <w:sz w:val="32"/>
                <w:szCs w:val="32"/>
              </w:rPr>
            </w:pPr>
            <w:r w:rsidRPr="00FC31A6">
              <w:rPr>
                <w:rFonts w:ascii="Arial Narrow" w:hAnsi="Arial Narrow"/>
                <w:b/>
                <w:bCs w:val="0"/>
                <w:sz w:val="32"/>
                <w:szCs w:val="32"/>
              </w:rPr>
              <w:t>Day One</w:t>
            </w:r>
          </w:p>
        </w:tc>
      </w:tr>
      <w:tr w:rsidR="00166521" w:rsidRPr="00393486" w14:paraId="58F6A4A8" w14:textId="77777777" w:rsidTr="6C11CAFA">
        <w:trPr>
          <w:cantSplit/>
          <w:trHeight w:val="353"/>
          <w:jc w:val="center"/>
        </w:trPr>
        <w:tc>
          <w:tcPr>
            <w:tcW w:w="1163" w:type="dxa"/>
            <w:tcBorders>
              <w:bottom w:val="single" w:sz="4" w:space="0" w:color="auto"/>
            </w:tcBorders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3A2E87A7" w14:textId="77777777" w:rsidR="00166521" w:rsidRPr="00393486" w:rsidRDefault="00166521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bookmarkStart w:id="0" w:name="_Hlk206075949"/>
            <w:r w:rsidRPr="0039348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08.30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616EFB4" w14:textId="45679AB4" w:rsidR="00166521" w:rsidRPr="00393486" w:rsidRDefault="003D2084" w:rsidP="003D2084">
            <w:pPr>
              <w:rPr>
                <w:rFonts w:ascii="Arial Narrow" w:eastAsia="Arial Unicode MS" w:hAnsi="Arial Narrow"/>
                <w:b/>
                <w:bCs w:val="0"/>
                <w:sz w:val="22"/>
                <w:szCs w:val="22"/>
              </w:rPr>
            </w:pPr>
            <w:r w:rsidRPr="00393486">
              <w:rPr>
                <w:rFonts w:ascii="Arial Narrow" w:eastAsia="Arial Unicode MS" w:hAnsi="Arial Narrow"/>
                <w:b/>
                <w:bCs w:val="0"/>
                <w:sz w:val="22"/>
                <w:szCs w:val="22"/>
              </w:rPr>
              <w:t xml:space="preserve">       </w:t>
            </w:r>
            <w:r w:rsidR="00166521" w:rsidRPr="00393486">
              <w:rPr>
                <w:rFonts w:ascii="Arial Narrow" w:eastAsia="Arial Unicode MS" w:hAnsi="Arial Narrow"/>
                <w:b/>
                <w:bCs w:val="0"/>
                <w:sz w:val="22"/>
                <w:szCs w:val="22"/>
              </w:rPr>
              <w:t>Registration</w:t>
            </w:r>
          </w:p>
        </w:tc>
      </w:tr>
      <w:tr w:rsidR="00166521" w:rsidRPr="00D54E57" w14:paraId="463AFE7F" w14:textId="77777777" w:rsidTr="6C11CAFA">
        <w:trPr>
          <w:cantSplit/>
          <w:trHeight w:val="315"/>
          <w:jc w:val="center"/>
        </w:trPr>
        <w:tc>
          <w:tcPr>
            <w:tcW w:w="1163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91799D3" w14:textId="77777777" w:rsidR="00166521" w:rsidRPr="003236DF" w:rsidRDefault="00166521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bookmarkStart w:id="1" w:name="_Hlk206075871"/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08.50</w:t>
            </w:r>
          </w:p>
        </w:tc>
        <w:tc>
          <w:tcPr>
            <w:tcW w:w="8661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974F07E" w14:textId="39DF16D2" w:rsidR="00166521" w:rsidRPr="00CB1DBD" w:rsidRDefault="00CB1DBD" w:rsidP="00CB1DBD">
            <w:pPr>
              <w:rPr>
                <w:rFonts w:ascii="Arial Narrow" w:eastAsia="Arial Unicode MS" w:hAnsi="Arial Narrow"/>
                <w:b/>
                <w:bCs w:val="0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 w:val="0"/>
                <w:sz w:val="22"/>
                <w:szCs w:val="22"/>
              </w:rPr>
              <w:t xml:space="preserve">       </w:t>
            </w:r>
            <w:r w:rsidR="00166521" w:rsidRPr="00CB1DBD">
              <w:rPr>
                <w:rFonts w:ascii="Arial Narrow" w:eastAsia="Arial Unicode MS" w:hAnsi="Arial Narrow"/>
                <w:b/>
                <w:bCs w:val="0"/>
                <w:sz w:val="22"/>
                <w:szCs w:val="22"/>
              </w:rPr>
              <w:t>Welcome</w:t>
            </w:r>
          </w:p>
        </w:tc>
      </w:tr>
      <w:bookmarkEnd w:id="0"/>
      <w:bookmarkEnd w:id="1"/>
      <w:tr w:rsidR="00166521" w:rsidRPr="00D54E57" w14:paraId="37EF7F16" w14:textId="77777777" w:rsidTr="6C11CAFA">
        <w:trPr>
          <w:cantSplit/>
          <w:trHeight w:val="323"/>
          <w:jc w:val="center"/>
        </w:trPr>
        <w:tc>
          <w:tcPr>
            <w:tcW w:w="1163" w:type="dxa"/>
            <w:shd w:val="clear" w:color="auto" w:fill="FFF3CC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D4F3DC6" w14:textId="77777777" w:rsidR="00166521" w:rsidRPr="003236DF" w:rsidRDefault="00166521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09.00</w:t>
            </w:r>
          </w:p>
        </w:tc>
        <w:tc>
          <w:tcPr>
            <w:tcW w:w="8661" w:type="dxa"/>
            <w:shd w:val="clear" w:color="auto" w:fill="FFF3CC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27F320D" w14:textId="392E8475" w:rsidR="00166521" w:rsidRDefault="00F403D2" w:rsidP="00166521">
            <w:pPr>
              <w:ind w:left="346"/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  <w:t xml:space="preserve">KEYNOTE - </w:t>
            </w:r>
            <w:r w:rsidR="00166521"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  <w:t>Effective Characterisation – A Regulator’s Perspective</w:t>
            </w:r>
          </w:p>
          <w:p w14:paraId="22692CFC" w14:textId="540A0A69" w:rsidR="00166521" w:rsidRPr="00166521" w:rsidRDefault="00682F4F" w:rsidP="00166521">
            <w:pPr>
              <w:ind w:left="346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Matthew Farris</w:t>
            </w:r>
          </w:p>
        </w:tc>
      </w:tr>
      <w:tr w:rsidR="00166521" w:rsidRPr="00D54E57" w14:paraId="4105D2BF" w14:textId="77777777" w:rsidTr="6C11CAFA">
        <w:trPr>
          <w:cantSplit/>
          <w:trHeight w:val="203"/>
          <w:jc w:val="center"/>
        </w:trPr>
        <w:tc>
          <w:tcPr>
            <w:tcW w:w="1163" w:type="dxa"/>
            <w:shd w:val="clear" w:color="auto" w:fill="FFF3CC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79EB4A07" w14:textId="60F33747" w:rsidR="00166521" w:rsidRPr="003236DF" w:rsidRDefault="00166521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09.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3</w:t>
            </w: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</w:t>
            </w:r>
          </w:p>
        </w:tc>
        <w:tc>
          <w:tcPr>
            <w:tcW w:w="8661" w:type="dxa"/>
            <w:shd w:val="clear" w:color="auto" w:fill="FFF3CC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3AFFA1F8" w14:textId="6442026F" w:rsidR="00166521" w:rsidRDefault="00D47D3D" w:rsidP="00166521">
            <w:pPr>
              <w:ind w:left="346"/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  <w:t xml:space="preserve">KEYNOTE - Endurance – First of the </w:t>
            </w:r>
            <w:r w:rsidR="002579F6"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  <w:t>N</w:t>
            </w:r>
            <w:r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  <w:t>ew Generation</w:t>
            </w:r>
          </w:p>
          <w:p w14:paraId="28A79B84" w14:textId="6B263AAE" w:rsidR="00166521" w:rsidRPr="003236DF" w:rsidRDefault="00D47D3D" w:rsidP="00166521">
            <w:pPr>
              <w:ind w:left="346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Sarah Buchanan</w:t>
            </w:r>
          </w:p>
        </w:tc>
      </w:tr>
      <w:tr w:rsidR="001B03CA" w:rsidRPr="00D54E57" w14:paraId="275CD78A" w14:textId="77777777" w:rsidTr="6C11CAFA">
        <w:trPr>
          <w:cantSplit/>
          <w:trHeight w:val="203"/>
          <w:jc w:val="center"/>
        </w:trPr>
        <w:tc>
          <w:tcPr>
            <w:tcW w:w="1163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C04C8CF" w14:textId="77777777" w:rsidR="001B03CA" w:rsidRPr="003236DF" w:rsidRDefault="001B03CA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8661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E9864B9" w14:textId="6B53F08E" w:rsidR="001B03CA" w:rsidRPr="003236DF" w:rsidRDefault="001B03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hAnsi="Arial Narrow" w:cs="Arial"/>
                <w:b/>
                <w:sz w:val="22"/>
                <w:szCs w:val="22"/>
              </w:rPr>
              <w:t xml:space="preserve">       Session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One</w:t>
            </w:r>
            <w:r w:rsidRPr="003236DF"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Basin-scale Characterisation</w:t>
            </w:r>
          </w:p>
        </w:tc>
      </w:tr>
      <w:tr w:rsidR="00166521" w:rsidRPr="00D54E57" w14:paraId="3EFE3676" w14:textId="77777777" w:rsidTr="6C11CAFA">
        <w:trPr>
          <w:cantSplit/>
          <w:trHeight w:val="203"/>
          <w:jc w:val="center"/>
        </w:trPr>
        <w:tc>
          <w:tcPr>
            <w:tcW w:w="1163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1772C148" w14:textId="77777777" w:rsidR="00166521" w:rsidRPr="003236DF" w:rsidRDefault="00166521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10.00</w:t>
            </w:r>
          </w:p>
        </w:tc>
        <w:tc>
          <w:tcPr>
            <w:tcW w:w="8661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86D9D1B" w14:textId="3EFF5817" w:rsidR="00166521" w:rsidRPr="003236DF" w:rsidRDefault="001B03CA">
            <w:pPr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bCs w:val="0"/>
                <w:sz w:val="22"/>
                <w:szCs w:val="22"/>
                <w:shd w:val="clear" w:color="auto" w:fill="FFFFFF"/>
              </w:rPr>
              <w:t>Hydraulically Open Boundaries and Legal Consequences</w:t>
            </w:r>
          </w:p>
          <w:p w14:paraId="1030E642" w14:textId="2DBBAA8A" w:rsidR="00166521" w:rsidRPr="003236DF" w:rsidRDefault="001B03CA">
            <w:pPr>
              <w:ind w:left="346"/>
              <w:rPr>
                <w:rFonts w:ascii="Arial Narrow" w:hAnsi="Arial Narrow" w:cs="Calibri"/>
                <w:sz w:val="22"/>
                <w:szCs w:val="22"/>
                <w:lang w:eastAsia="en-GB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en-GB"/>
              </w:rPr>
              <w:t>Sylvain Thibeau</w:t>
            </w:r>
          </w:p>
        </w:tc>
      </w:tr>
      <w:tr w:rsidR="001B03CA" w:rsidRPr="00D54E57" w14:paraId="23581645" w14:textId="77777777" w:rsidTr="6C11CAFA">
        <w:trPr>
          <w:cantSplit/>
          <w:trHeight w:val="203"/>
          <w:jc w:val="center"/>
        </w:trPr>
        <w:tc>
          <w:tcPr>
            <w:tcW w:w="1163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4B418C10" w14:textId="7896B1AF" w:rsidR="001B03CA" w:rsidRPr="003236DF" w:rsidRDefault="001B03CA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10</w:t>
            </w:r>
            <w:r w:rsidR="00467AA0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  <w:r w:rsidR="0036539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25</w:t>
            </w:r>
          </w:p>
        </w:tc>
        <w:tc>
          <w:tcPr>
            <w:tcW w:w="8661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34CD6CA7" w14:textId="2C4AEE47" w:rsidR="001B03CA" w:rsidRDefault="00B92E23">
            <w:pPr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bCs w:val="0"/>
                <w:sz w:val="22"/>
                <w:szCs w:val="22"/>
                <w:shd w:val="clear" w:color="auto" w:fill="FFFFFF"/>
              </w:rPr>
              <w:t xml:space="preserve">How Collaboration in 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CO</w:t>
            </w:r>
            <w:r w:rsidR="00AD13A3" w:rsidRPr="00AD13A3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bCs w:val="0"/>
                <w:sz w:val="22"/>
                <w:szCs w:val="22"/>
                <w:shd w:val="clear" w:color="auto" w:fill="FFFFFF"/>
              </w:rPr>
              <w:t>Storage Supports the Effective Site and Risk Characterisation of a Large Connected Hydraulic Unit:  A Case Study from the Humberside CCS Project</w:t>
            </w:r>
          </w:p>
          <w:p w14:paraId="2CA7258B" w14:textId="138A3020" w:rsidR="001B03CA" w:rsidRPr="001B03CA" w:rsidRDefault="001B03CA">
            <w:pPr>
              <w:ind w:left="346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James C White</w:t>
            </w:r>
          </w:p>
        </w:tc>
      </w:tr>
      <w:tr w:rsidR="00166521" w:rsidRPr="00D54E57" w14:paraId="59ADB4E4" w14:textId="77777777" w:rsidTr="6C11CAFA">
        <w:trPr>
          <w:cantSplit/>
          <w:trHeight w:val="203"/>
          <w:jc w:val="center"/>
        </w:trPr>
        <w:tc>
          <w:tcPr>
            <w:tcW w:w="1163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397C2775" w14:textId="7A855297" w:rsidR="00166521" w:rsidRPr="003236DF" w:rsidRDefault="00166521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10.</w:t>
            </w:r>
            <w:r w:rsidR="001B03CA">
              <w:rPr>
                <w:rFonts w:ascii="Arial Narrow" w:eastAsia="Arial Unicode MS" w:hAnsi="Arial Narrow" w:cs="Arial"/>
                <w:b/>
                <w:sz w:val="22"/>
                <w:szCs w:val="22"/>
              </w:rPr>
              <w:t>5</w:t>
            </w: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</w:t>
            </w:r>
          </w:p>
        </w:tc>
        <w:tc>
          <w:tcPr>
            <w:tcW w:w="8661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B027E21" w14:textId="77777777" w:rsidR="00166521" w:rsidRPr="003236DF" w:rsidRDefault="0016652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hAnsi="Arial Narrow" w:cs="Arial"/>
                <w:b/>
                <w:sz w:val="22"/>
                <w:szCs w:val="22"/>
              </w:rPr>
              <w:t xml:space="preserve">       BREAK </w:t>
            </w:r>
          </w:p>
        </w:tc>
      </w:tr>
      <w:tr w:rsidR="00166521" w:rsidRPr="00D54E57" w14:paraId="4803BDAD" w14:textId="77777777" w:rsidTr="6C11CAFA">
        <w:trPr>
          <w:cantSplit/>
          <w:trHeight w:val="203"/>
          <w:jc w:val="center"/>
        </w:trPr>
        <w:tc>
          <w:tcPr>
            <w:tcW w:w="1163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7801873C" w14:textId="77777777" w:rsidR="00166521" w:rsidRPr="003236DF" w:rsidRDefault="00166521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8661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DAE0507" w14:textId="388B66EC" w:rsidR="00166521" w:rsidRPr="003236DF" w:rsidRDefault="0016652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hAnsi="Arial Narrow" w:cs="Arial"/>
                <w:b/>
                <w:sz w:val="22"/>
                <w:szCs w:val="22"/>
              </w:rPr>
              <w:t xml:space="preserve">       Session Two: </w:t>
            </w:r>
            <w:r w:rsidR="001B03CA">
              <w:rPr>
                <w:rFonts w:ascii="Arial Narrow" w:hAnsi="Arial Narrow" w:cs="Arial"/>
                <w:b/>
                <w:sz w:val="22"/>
                <w:szCs w:val="22"/>
              </w:rPr>
              <w:t>Assessing Capacity in Large Saline Aquifers</w:t>
            </w:r>
          </w:p>
        </w:tc>
      </w:tr>
      <w:tr w:rsidR="00166521" w:rsidRPr="00D54E57" w14:paraId="67786EE7" w14:textId="77777777" w:rsidTr="6C11CAFA">
        <w:trPr>
          <w:cantSplit/>
          <w:trHeight w:val="600"/>
          <w:jc w:val="center"/>
        </w:trPr>
        <w:tc>
          <w:tcPr>
            <w:tcW w:w="1163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5290717C" w14:textId="3CECE2BF" w:rsidR="00166521" w:rsidRPr="003236DF" w:rsidRDefault="00166521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11.</w:t>
            </w:r>
            <w:r w:rsidR="00611E6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15</w:t>
            </w:r>
          </w:p>
        </w:tc>
        <w:tc>
          <w:tcPr>
            <w:tcW w:w="8661" w:type="dxa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4EC8F12" w14:textId="27B6D660" w:rsidR="00166521" w:rsidRPr="0008373F" w:rsidRDefault="002A5618">
            <w:pPr>
              <w:tabs>
                <w:tab w:val="left" w:pos="3876"/>
              </w:tabs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  <w:shd w:val="clear" w:color="auto" w:fill="FFFFFF"/>
              </w:rPr>
            </w:pPr>
            <w:r w:rsidRPr="0008373F">
              <w:rPr>
                <w:rFonts w:ascii="Arial Narrow" w:hAnsi="Arial Narrow" w:cs="Arial"/>
                <w:b/>
                <w:bCs w:val="0"/>
                <w:sz w:val="22"/>
                <w:szCs w:val="22"/>
                <w:shd w:val="clear" w:color="auto" w:fill="FFFFFF"/>
              </w:rPr>
              <w:t>A First-order Model of Pressure-</w:t>
            </w:r>
            <w:r w:rsidR="006C561B" w:rsidRPr="0008373F">
              <w:rPr>
                <w:rFonts w:ascii="Arial Narrow" w:hAnsi="Arial Narrow" w:cs="Arial"/>
                <w:b/>
                <w:bCs w:val="0"/>
                <w:sz w:val="22"/>
                <w:szCs w:val="22"/>
                <w:shd w:val="clear" w:color="auto" w:fill="FFFFFF"/>
              </w:rPr>
              <w:t xml:space="preserve">limited 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CO</w:t>
            </w:r>
            <w:r w:rsidR="00AD13A3" w:rsidRPr="00AD13A3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</w:t>
            </w:r>
            <w:r w:rsidR="006C561B" w:rsidRPr="0008373F">
              <w:rPr>
                <w:rFonts w:ascii="Arial Narrow" w:hAnsi="Arial Narrow" w:cs="Arial"/>
                <w:b/>
                <w:bCs w:val="0"/>
                <w:sz w:val="22"/>
                <w:szCs w:val="22"/>
                <w:shd w:val="clear" w:color="auto" w:fill="FFFFFF"/>
              </w:rPr>
              <w:t>Geological Storage Growth at the Basin Scale</w:t>
            </w:r>
          </w:p>
          <w:p w14:paraId="669B1B6F" w14:textId="3764F3BF" w:rsidR="006C561B" w:rsidRPr="003236DF" w:rsidRDefault="0008373F">
            <w:pPr>
              <w:tabs>
                <w:tab w:val="left" w:pos="3876"/>
              </w:tabs>
              <w:ind w:left="346"/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Iain de Jonge Anderson</w:t>
            </w:r>
          </w:p>
        </w:tc>
      </w:tr>
      <w:tr w:rsidR="00AA79AA" w:rsidRPr="00D54E57" w14:paraId="43B8DCFF" w14:textId="77777777" w:rsidTr="6C11CAFA">
        <w:trPr>
          <w:cantSplit/>
          <w:trHeight w:val="417"/>
          <w:jc w:val="center"/>
        </w:trPr>
        <w:tc>
          <w:tcPr>
            <w:tcW w:w="1163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12437E3F" w14:textId="745093A4" w:rsidR="00AA79AA" w:rsidRPr="003236DF" w:rsidRDefault="00AA79AA" w:rsidP="00AA79AA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11.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4</w:t>
            </w:r>
            <w:r w:rsidR="00611E6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</w:t>
            </w:r>
          </w:p>
        </w:tc>
        <w:tc>
          <w:tcPr>
            <w:tcW w:w="8661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58C9E654" w14:textId="77777777" w:rsidR="00AA79AA" w:rsidRDefault="00AA79AA" w:rsidP="00AA79AA">
            <w:pPr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bCs w:val="0"/>
                <w:sz w:val="22"/>
                <w:szCs w:val="22"/>
                <w:shd w:val="clear" w:color="auto" w:fill="FFFFFF"/>
              </w:rPr>
              <w:t>Storage Capacity Constraints in Unconfined saline Aquifers – Insights from the Site Characterisation of the Humberside Prospect, Offshore UK</w:t>
            </w:r>
          </w:p>
          <w:p w14:paraId="670EF423" w14:textId="3C96B824" w:rsidR="00AA79AA" w:rsidRPr="003236DF" w:rsidRDefault="00811694" w:rsidP="00AA79AA">
            <w:pPr>
              <w:ind w:left="346"/>
              <w:rPr>
                <w:rFonts w:ascii="Arial Narrow" w:hAnsi="Arial Narrow" w:cstheme="minorHAnsi"/>
                <w:bCs w:val="0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Samantha Luxon</w:t>
            </w:r>
            <w:r w:rsidR="00AA79AA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AA79AA" w:rsidRPr="00D54E57" w14:paraId="1CCFA768" w14:textId="77777777" w:rsidTr="6C11CAFA">
        <w:trPr>
          <w:cantSplit/>
          <w:trHeight w:val="453"/>
          <w:jc w:val="center"/>
        </w:trPr>
        <w:tc>
          <w:tcPr>
            <w:tcW w:w="1163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6030D43" w14:textId="38CF95E8" w:rsidR="00AA79AA" w:rsidRPr="003236DF" w:rsidRDefault="00AA79AA" w:rsidP="00AA79AA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2.</w:t>
            </w:r>
            <w:r w:rsidR="00611E6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05</w:t>
            </w:r>
          </w:p>
        </w:tc>
        <w:tc>
          <w:tcPr>
            <w:tcW w:w="8661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4AD87C92" w14:textId="18416498" w:rsidR="00AA79AA" w:rsidRPr="00737B66" w:rsidRDefault="00862C08" w:rsidP="00AA79AA">
            <w:pPr>
              <w:ind w:left="346"/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en-GB"/>
              </w:rPr>
              <w:t>Poster Session</w:t>
            </w:r>
          </w:p>
          <w:p w14:paraId="2135822C" w14:textId="72BD5F8E" w:rsidR="00737B66" w:rsidRPr="003236DF" w:rsidRDefault="00737B66" w:rsidP="00321A8F">
            <w:pPr>
              <w:rPr>
                <w:rFonts w:ascii="Arial Narrow" w:hAnsi="Arial Narrow" w:cs="Calibri"/>
                <w:bCs w:val="0"/>
                <w:color w:val="000000"/>
                <w:sz w:val="22"/>
                <w:szCs w:val="22"/>
                <w:lang w:eastAsia="en-GB"/>
              </w:rPr>
            </w:pPr>
          </w:p>
        </w:tc>
      </w:tr>
      <w:tr w:rsidR="00AA79AA" w:rsidRPr="00D54E57" w14:paraId="3C2A8400" w14:textId="77777777" w:rsidTr="6C11CAFA">
        <w:trPr>
          <w:cantSplit/>
          <w:trHeight w:val="203"/>
          <w:jc w:val="center"/>
        </w:trPr>
        <w:tc>
          <w:tcPr>
            <w:tcW w:w="1163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53362A8" w14:textId="0D7C0D9A" w:rsidR="00AA79AA" w:rsidRPr="003236DF" w:rsidRDefault="00AA79AA" w:rsidP="00AA79AA">
            <w:pPr>
              <w:ind w:left="-35"/>
              <w:jc w:val="center"/>
              <w:rPr>
                <w:rFonts w:ascii="Arial Narrow" w:eastAsia="Arial Unicode MS" w:hAnsi="Arial Narrow" w:cs="Arial"/>
                <w:b/>
                <w:iCs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iCs/>
                <w:sz w:val="22"/>
                <w:szCs w:val="22"/>
              </w:rPr>
              <w:t>12.</w:t>
            </w:r>
            <w:r>
              <w:rPr>
                <w:rFonts w:ascii="Arial Narrow" w:eastAsia="Arial Unicode MS" w:hAnsi="Arial Narrow" w:cs="Arial"/>
                <w:b/>
                <w:iCs/>
                <w:sz w:val="22"/>
                <w:szCs w:val="22"/>
              </w:rPr>
              <w:t>3</w:t>
            </w:r>
            <w:r w:rsidR="00714174">
              <w:rPr>
                <w:rFonts w:ascii="Arial Narrow" w:eastAsia="Arial Unicode MS" w:hAnsi="Arial Narrow" w:cs="Arial"/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8661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1F5C8A18" w14:textId="7CC5490C" w:rsidR="00AA79AA" w:rsidRPr="003236DF" w:rsidRDefault="00AA79AA" w:rsidP="00AA79AA">
            <w:pPr>
              <w:ind w:left="346"/>
              <w:rPr>
                <w:rFonts w:ascii="Arial Narrow" w:hAnsi="Arial Narrow" w:cs="Arial"/>
                <w:b/>
                <w:bCs w:val="0"/>
                <w:iCs/>
                <w:sz w:val="22"/>
                <w:szCs w:val="22"/>
              </w:rPr>
            </w:pPr>
            <w:r w:rsidRPr="003236DF">
              <w:rPr>
                <w:rFonts w:ascii="Arial Narrow" w:hAnsi="Arial Narrow" w:cs="Arial"/>
                <w:b/>
                <w:bCs w:val="0"/>
                <w:iCs/>
                <w:sz w:val="22"/>
                <w:szCs w:val="22"/>
              </w:rPr>
              <w:t>LUNCH</w:t>
            </w:r>
          </w:p>
        </w:tc>
      </w:tr>
      <w:tr w:rsidR="00AA79AA" w:rsidRPr="00D54E57" w14:paraId="140D9D96" w14:textId="77777777" w:rsidTr="6C11CAFA">
        <w:trPr>
          <w:cantSplit/>
          <w:trHeight w:val="203"/>
          <w:jc w:val="center"/>
        </w:trPr>
        <w:tc>
          <w:tcPr>
            <w:tcW w:w="1163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4616C034" w14:textId="77777777" w:rsidR="00AA79AA" w:rsidRPr="003236DF" w:rsidRDefault="00AA79AA" w:rsidP="00AA79AA">
            <w:pPr>
              <w:ind w:left="-35"/>
              <w:jc w:val="center"/>
              <w:rPr>
                <w:rFonts w:ascii="Arial Narrow" w:eastAsia="Arial Unicode MS" w:hAnsi="Arial Narrow" w:cs="Arial"/>
                <w:b/>
                <w:iCs/>
                <w:sz w:val="22"/>
                <w:szCs w:val="22"/>
              </w:rPr>
            </w:pPr>
          </w:p>
        </w:tc>
        <w:tc>
          <w:tcPr>
            <w:tcW w:w="8661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71D85A50" w14:textId="7084234B" w:rsidR="00AA79AA" w:rsidRPr="003236DF" w:rsidRDefault="00AA79AA" w:rsidP="00AA79AA">
            <w:pPr>
              <w:ind w:left="346"/>
              <w:rPr>
                <w:rFonts w:ascii="Arial Narrow" w:hAnsi="Arial Narrow" w:cs="Arial"/>
                <w:b/>
                <w:bCs w:val="0"/>
                <w:iCs/>
                <w:sz w:val="22"/>
                <w:szCs w:val="22"/>
              </w:rPr>
            </w:pPr>
            <w:r w:rsidRPr="003236DF">
              <w:rPr>
                <w:rFonts w:ascii="Arial Narrow" w:hAnsi="Arial Narrow" w:cs="Arial"/>
                <w:b/>
                <w:bCs w:val="0"/>
                <w:iCs/>
                <w:sz w:val="22"/>
                <w:szCs w:val="22"/>
              </w:rPr>
              <w:t xml:space="preserve">Session Three: </w:t>
            </w:r>
            <w:r w:rsidR="000A5BBF" w:rsidRPr="000A5BBF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Traditional and </w:t>
            </w:r>
            <w:r w:rsidR="0055167F">
              <w:rPr>
                <w:rFonts w:ascii="Arial Narrow" w:hAnsi="Arial Narrow" w:cs="Arial"/>
                <w:b/>
                <w:iCs/>
                <w:sz w:val="22"/>
                <w:szCs w:val="22"/>
              </w:rPr>
              <w:t>E</w:t>
            </w:r>
            <w:r w:rsidR="000A5BBF" w:rsidRPr="000A5BBF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merging </w:t>
            </w:r>
            <w:r w:rsidR="0055167F">
              <w:rPr>
                <w:rFonts w:ascii="Arial Narrow" w:hAnsi="Arial Narrow" w:cs="Arial"/>
                <w:b/>
                <w:iCs/>
                <w:sz w:val="22"/>
                <w:szCs w:val="22"/>
              </w:rPr>
              <w:t>A</w:t>
            </w:r>
            <w:r w:rsidR="000A5BBF" w:rsidRPr="000A5BBF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pproaches to </w:t>
            </w:r>
            <w:r w:rsidR="0055167F">
              <w:rPr>
                <w:rFonts w:ascii="Arial Narrow" w:hAnsi="Arial Narrow" w:cs="Arial"/>
                <w:b/>
                <w:iCs/>
                <w:sz w:val="22"/>
                <w:szCs w:val="22"/>
              </w:rPr>
              <w:t>S</w:t>
            </w:r>
            <w:r w:rsidR="000A5BBF" w:rsidRPr="000A5BBF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ubsurface </w:t>
            </w:r>
            <w:r w:rsidR="0055167F">
              <w:rPr>
                <w:rFonts w:ascii="Arial Narrow" w:hAnsi="Arial Narrow" w:cs="Arial"/>
                <w:b/>
                <w:iCs/>
                <w:sz w:val="22"/>
                <w:szCs w:val="22"/>
              </w:rPr>
              <w:t>E</w:t>
            </w:r>
            <w:r w:rsidR="000A5BBF" w:rsidRPr="000A5BBF">
              <w:rPr>
                <w:rFonts w:ascii="Arial Narrow" w:hAnsi="Arial Narrow" w:cs="Arial"/>
                <w:b/>
                <w:iCs/>
                <w:sz w:val="22"/>
                <w:szCs w:val="22"/>
              </w:rPr>
              <w:t>valuation</w:t>
            </w:r>
          </w:p>
        </w:tc>
      </w:tr>
      <w:tr w:rsidR="00AA79AA" w:rsidRPr="00D54E57" w14:paraId="528A8655" w14:textId="77777777" w:rsidTr="00A350ED">
        <w:trPr>
          <w:cantSplit/>
          <w:trHeight w:val="567"/>
          <w:jc w:val="center"/>
        </w:trPr>
        <w:tc>
          <w:tcPr>
            <w:tcW w:w="1163" w:type="dxa"/>
            <w:shd w:val="clear" w:color="auto" w:fill="FFF3CC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96333F8" w14:textId="627A3BDF" w:rsidR="00AA79AA" w:rsidRPr="003236DF" w:rsidRDefault="00AA79AA" w:rsidP="00AA79AA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13.</w:t>
            </w:r>
            <w:r w:rsidR="0071417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2</w:t>
            </w:r>
            <w:r w:rsidR="00E92F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</w:t>
            </w:r>
          </w:p>
        </w:tc>
        <w:tc>
          <w:tcPr>
            <w:tcW w:w="8661" w:type="dxa"/>
            <w:shd w:val="clear" w:color="auto" w:fill="FFF3CC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B250B40" w14:textId="6A939320" w:rsidR="00AA79AA" w:rsidRPr="00530DBD" w:rsidRDefault="00E92FF7" w:rsidP="00B466B2">
            <w:pPr>
              <w:ind w:left="346"/>
              <w:rPr>
                <w:rFonts w:ascii="Arial Narrow" w:hAnsi="Arial Narrow" w:cstheme="minorHAnsi"/>
                <w:b/>
                <w:bCs w:val="0"/>
                <w:i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 w:val="0"/>
                <w:iCs/>
                <w:sz w:val="22"/>
                <w:szCs w:val="22"/>
              </w:rPr>
              <w:t xml:space="preserve">KEYNOTE - </w:t>
            </w:r>
            <w:r w:rsidR="00530DBD" w:rsidRPr="00530DBD">
              <w:rPr>
                <w:rFonts w:ascii="Arial Narrow" w:hAnsi="Arial Narrow" w:cstheme="minorHAnsi"/>
                <w:b/>
                <w:bCs w:val="0"/>
                <w:iCs/>
                <w:sz w:val="22"/>
                <w:szCs w:val="22"/>
              </w:rPr>
              <w:t>Notes from a New Enterprise: Characterisation for Carbon Storage</w:t>
            </w:r>
          </w:p>
          <w:p w14:paraId="745741F7" w14:textId="764A97B6" w:rsidR="00530DBD" w:rsidRPr="003236DF" w:rsidRDefault="00530DBD" w:rsidP="00B466B2">
            <w:pPr>
              <w:ind w:left="346"/>
              <w:rPr>
                <w:rFonts w:ascii="Arial Narrow" w:hAnsi="Arial Narrow" w:cstheme="minorHAnsi"/>
                <w:iCs/>
                <w:sz w:val="22"/>
                <w:szCs w:val="22"/>
              </w:rPr>
            </w:pPr>
            <w:r w:rsidRPr="00530DBD">
              <w:rPr>
                <w:rFonts w:ascii="Arial Narrow" w:hAnsi="Arial Narrow" w:cstheme="minorHAnsi"/>
                <w:iCs/>
                <w:sz w:val="22"/>
                <w:szCs w:val="22"/>
              </w:rPr>
              <w:t>Alexander Bump</w:t>
            </w:r>
          </w:p>
        </w:tc>
      </w:tr>
      <w:tr w:rsidR="00AA79AA" w:rsidRPr="00D54E57" w14:paraId="169732D4" w14:textId="77777777" w:rsidTr="6C11CAFA">
        <w:trPr>
          <w:cantSplit/>
          <w:trHeight w:val="531"/>
          <w:jc w:val="center"/>
        </w:trPr>
        <w:tc>
          <w:tcPr>
            <w:tcW w:w="1163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7505069" w14:textId="7C638372" w:rsidR="00AA79AA" w:rsidRPr="003236DF" w:rsidRDefault="00AA79AA" w:rsidP="00AA79AA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</w:t>
            </w:r>
            <w:r w:rsidR="000F239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3.50</w:t>
            </w:r>
          </w:p>
        </w:tc>
        <w:tc>
          <w:tcPr>
            <w:tcW w:w="8661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F63AFB7" w14:textId="4038623C" w:rsidR="00737B66" w:rsidRPr="00B46255" w:rsidRDefault="00B46255" w:rsidP="00714174">
            <w:pPr>
              <w:ind w:left="346"/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</w:pPr>
            <w:r w:rsidRPr="00B46255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Seismic Re-processing and Interpretation to Uncertainties in Sean-Inde CCUS Site Assessment</w:t>
            </w:r>
          </w:p>
          <w:p w14:paraId="06C6E04A" w14:textId="2E7F7BC0" w:rsidR="00B46255" w:rsidRPr="003236DF" w:rsidRDefault="00B46255" w:rsidP="00714174">
            <w:pPr>
              <w:ind w:left="346"/>
              <w:rPr>
                <w:rFonts w:ascii="Arial Narrow" w:hAnsi="Arial Narrow" w:cstheme="minorHAnsi"/>
                <w:bCs w:val="0"/>
                <w:sz w:val="22"/>
                <w:szCs w:val="22"/>
              </w:rPr>
            </w:pPr>
            <w:r w:rsidRPr="00B46255">
              <w:rPr>
                <w:rFonts w:ascii="Arial Narrow" w:hAnsi="Arial Narrow" w:cstheme="minorHAnsi"/>
                <w:sz w:val="22"/>
                <w:szCs w:val="22"/>
              </w:rPr>
              <w:t>Gerco Stapel</w:t>
            </w:r>
          </w:p>
        </w:tc>
      </w:tr>
      <w:tr w:rsidR="00AA79AA" w:rsidRPr="00D54E57" w14:paraId="6A47F880" w14:textId="77777777" w:rsidTr="6C11CAFA">
        <w:trPr>
          <w:cantSplit/>
          <w:trHeight w:val="531"/>
          <w:jc w:val="center"/>
        </w:trPr>
        <w:tc>
          <w:tcPr>
            <w:tcW w:w="1163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4185AE7B" w14:textId="42CA229F" w:rsidR="00AA79AA" w:rsidRPr="003236DF" w:rsidRDefault="00AA79AA" w:rsidP="6C11CAFA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6C11CAFA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14.</w:t>
            </w:r>
            <w:r w:rsidR="68680A9E" w:rsidRPr="6C11CAFA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15</w:t>
            </w:r>
          </w:p>
        </w:tc>
        <w:tc>
          <w:tcPr>
            <w:tcW w:w="8661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17A349F2" w14:textId="1BD5D2A9" w:rsidR="00AF4AA8" w:rsidRPr="00BE1EA0" w:rsidRDefault="00AF4AA8" w:rsidP="00AF4AA8">
            <w:pPr>
              <w:ind w:left="346"/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</w:pPr>
            <w:r w:rsidRPr="00BE1EA0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Performance Assessment of Distributed Acoustic Sensing (DAS) </w:t>
            </w:r>
            <w:r w:rsidR="002579F6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A</w:t>
            </w:r>
            <w:r w:rsidRPr="00BE1EA0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rrays for Seismic Monitoring of Offshore Carbon Storage</w:t>
            </w:r>
          </w:p>
          <w:p w14:paraId="0EBC5650" w14:textId="6E58981C" w:rsidR="00BE1EA0" w:rsidRPr="001C051C" w:rsidRDefault="00AF4AA8" w:rsidP="00AF4AA8">
            <w:pPr>
              <w:ind w:left="346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Antony Butcher</w:t>
            </w:r>
          </w:p>
        </w:tc>
      </w:tr>
      <w:tr w:rsidR="000F2396" w:rsidRPr="00D54E57" w14:paraId="4DD77770" w14:textId="77777777" w:rsidTr="6C11CAFA">
        <w:trPr>
          <w:cantSplit/>
          <w:trHeight w:val="531"/>
          <w:jc w:val="center"/>
        </w:trPr>
        <w:tc>
          <w:tcPr>
            <w:tcW w:w="1163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615449A" w14:textId="0D4AA8C7" w:rsidR="000F2396" w:rsidRPr="003236DF" w:rsidRDefault="000F2396" w:rsidP="6C11CAFA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6C11CAFA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14.4</w:t>
            </w:r>
            <w:r w:rsidR="4BF21D59" w:rsidRPr="6C11CAFA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</w:t>
            </w:r>
          </w:p>
        </w:tc>
        <w:tc>
          <w:tcPr>
            <w:tcW w:w="8661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57BEC2B4" w14:textId="77777777" w:rsidR="000F2396" w:rsidRPr="00704832" w:rsidRDefault="000F2396" w:rsidP="000F2396">
            <w:pPr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</w:rPr>
            </w:pPr>
            <w:r w:rsidRPr="00704832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Delivering Value from Rock Physics and CCS Containment and Capacity Assessment</w:t>
            </w:r>
          </w:p>
          <w:p w14:paraId="66545F43" w14:textId="4C40662E" w:rsidR="000F2396" w:rsidRPr="00704832" w:rsidRDefault="000F2396" w:rsidP="000F2396">
            <w:pPr>
              <w:ind w:left="346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Eleanor Oldham</w:t>
            </w:r>
          </w:p>
        </w:tc>
      </w:tr>
      <w:tr w:rsidR="000F2396" w:rsidRPr="00D54E57" w14:paraId="22982B80" w14:textId="77777777" w:rsidTr="6C11CAFA">
        <w:trPr>
          <w:cantSplit/>
          <w:trHeight w:val="296"/>
          <w:jc w:val="center"/>
        </w:trPr>
        <w:tc>
          <w:tcPr>
            <w:tcW w:w="1163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5E0DE551" w14:textId="6631FFAA" w:rsidR="000F2396" w:rsidRPr="003236DF" w:rsidRDefault="000F2396" w:rsidP="6C11CAFA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6C11CAFA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15.</w:t>
            </w:r>
            <w:r w:rsidR="3A2B8843" w:rsidRPr="6C11CAFA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05</w:t>
            </w:r>
          </w:p>
        </w:tc>
        <w:tc>
          <w:tcPr>
            <w:tcW w:w="8661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56234844" w14:textId="63E724FC" w:rsidR="000F2396" w:rsidRPr="003236DF" w:rsidRDefault="000F2396" w:rsidP="000F2396">
            <w:pPr>
              <w:rPr>
                <w:rFonts w:ascii="Arial Narrow" w:hAnsi="Arial Narrow" w:cs="Arial"/>
                <w:bCs w:val="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      </w:t>
            </w:r>
            <w:r w:rsidRPr="003236DF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BREAK </w:t>
            </w:r>
          </w:p>
        </w:tc>
      </w:tr>
      <w:tr w:rsidR="000F2396" w:rsidRPr="00D54E57" w14:paraId="612E5D41" w14:textId="77777777" w:rsidTr="6C11CAFA">
        <w:trPr>
          <w:cantSplit/>
          <w:trHeight w:val="203"/>
          <w:jc w:val="center"/>
        </w:trPr>
        <w:tc>
          <w:tcPr>
            <w:tcW w:w="1163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42C99C53" w14:textId="77777777" w:rsidR="000F2396" w:rsidRPr="003236DF" w:rsidRDefault="000F2396" w:rsidP="000F2396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bookmarkStart w:id="2" w:name="_Hlk204694361"/>
          </w:p>
        </w:tc>
        <w:tc>
          <w:tcPr>
            <w:tcW w:w="8661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4B7EF94A" w14:textId="1740A14E" w:rsidR="000F2396" w:rsidRPr="003236DF" w:rsidRDefault="000F2396" w:rsidP="000F2396">
            <w:pPr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</w:rPr>
            </w:pPr>
            <w:r w:rsidRPr="003236DF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Session Four:</w:t>
            </w: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 </w:t>
            </w:r>
            <w:r w:rsidR="0029385E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Po</w:t>
            </w:r>
            <w:r w:rsidR="00E56B01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res</w:t>
            </w:r>
            <w:r w:rsidR="0029385E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and Fluids</w:t>
            </w:r>
          </w:p>
        </w:tc>
      </w:tr>
      <w:bookmarkEnd w:id="2"/>
      <w:tr w:rsidR="000F2396" w:rsidRPr="00D54E57" w14:paraId="20C3B90A" w14:textId="77777777" w:rsidTr="6C11CAFA">
        <w:trPr>
          <w:cantSplit/>
          <w:trHeight w:val="203"/>
          <w:jc w:val="center"/>
        </w:trPr>
        <w:tc>
          <w:tcPr>
            <w:tcW w:w="1163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4ABC6A7E" w14:textId="187DEE33" w:rsidR="000F2396" w:rsidRPr="003236DF" w:rsidRDefault="000F2396" w:rsidP="000F2396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15.</w:t>
            </w:r>
            <w:r w:rsidR="0029385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5</w:t>
            </w:r>
          </w:p>
        </w:tc>
        <w:tc>
          <w:tcPr>
            <w:tcW w:w="8661" w:type="dxa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4E86883" w14:textId="2E84B30E" w:rsidR="000F2396" w:rsidRPr="00783CC1" w:rsidRDefault="00A530FF" w:rsidP="000F2396">
            <w:pPr>
              <w:ind w:left="361"/>
              <w:rPr>
                <w:rFonts w:ascii="Arial Narrow" w:hAnsi="Arial Narrow" w:cs="Arial"/>
                <w:b/>
                <w:bCs w:val="0"/>
                <w:sz w:val="22"/>
                <w:szCs w:val="22"/>
              </w:rPr>
            </w:pPr>
            <w:r w:rsidRPr="00783CC1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Simulation and Modelling of Convective Mixing of Carbon Dioxide in Geological Formations</w:t>
            </w:r>
          </w:p>
          <w:p w14:paraId="0A59594E" w14:textId="54B8E09C" w:rsidR="00A530FF" w:rsidRPr="003236DF" w:rsidRDefault="00A530FF" w:rsidP="00A530FF">
            <w:pPr>
              <w:ind w:left="361"/>
              <w:rPr>
                <w:rFonts w:ascii="Arial Narrow" w:hAnsi="Arial Narrow" w:cs="Arial"/>
                <w:sz w:val="22"/>
                <w:szCs w:val="22"/>
              </w:rPr>
            </w:pPr>
            <w:r w:rsidRPr="00A530FF">
              <w:rPr>
                <w:rFonts w:ascii="Arial Narrow" w:hAnsi="Arial Narrow" w:cs="Arial"/>
                <w:sz w:val="22"/>
                <w:szCs w:val="22"/>
              </w:rPr>
              <w:t>Francesco Zonta</w:t>
            </w:r>
          </w:p>
        </w:tc>
      </w:tr>
      <w:tr w:rsidR="000F2396" w:rsidRPr="00D54E57" w14:paraId="355C669E" w14:textId="77777777" w:rsidTr="6C11CAFA">
        <w:trPr>
          <w:cantSplit/>
          <w:trHeight w:val="480"/>
          <w:jc w:val="center"/>
        </w:trPr>
        <w:tc>
          <w:tcPr>
            <w:tcW w:w="1163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F9E74DA" w14:textId="40583D05" w:rsidR="000F2396" w:rsidRPr="003236DF" w:rsidRDefault="000F2396" w:rsidP="000F2396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1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6.</w:t>
            </w:r>
            <w:r w:rsidR="0029385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0</w:t>
            </w:r>
          </w:p>
        </w:tc>
        <w:tc>
          <w:tcPr>
            <w:tcW w:w="8661" w:type="dxa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77D88204" w14:textId="77777777" w:rsidR="00321A8F" w:rsidRDefault="00321A8F" w:rsidP="00321A8F">
            <w:pPr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</w:rPr>
            </w:pPr>
            <w:r w:rsidRPr="00A43364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The </w:t>
            </w: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R</w:t>
            </w:r>
            <w:r w:rsidRPr="00A43364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ole of </w:t>
            </w: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G</w:t>
            </w:r>
            <w:r w:rsidRPr="00A43364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eological </w:t>
            </w: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H</w:t>
            </w:r>
            <w:r w:rsidRPr="00A43364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eterogeneity on the </w:t>
            </w: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D</w:t>
            </w:r>
            <w:r w:rsidRPr="00A43364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evelopment of </w:t>
            </w: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D</w:t>
            </w:r>
            <w:r w:rsidRPr="00A43364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ensity-driven </w:t>
            </w: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</w:t>
            </w:r>
            <w:r w:rsidRPr="00A43364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onvection in </w:t>
            </w:r>
            <w:r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CO</w:t>
            </w:r>
            <w:r w:rsidRPr="00AD13A3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</w:t>
            </w:r>
            <w:r w:rsidRPr="00A43364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Solubility </w:t>
            </w: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T</w:t>
            </w:r>
            <w:r w:rsidRPr="00A43364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rapping and </w:t>
            </w: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M</w:t>
            </w:r>
            <w:r w:rsidRPr="00A43364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igration for an SNS </w:t>
            </w: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E</w:t>
            </w:r>
            <w:r w:rsidRPr="00A43364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xample</w:t>
            </w:r>
          </w:p>
          <w:p w14:paraId="7FB74844" w14:textId="2CB37DF5" w:rsidR="000F2396" w:rsidRPr="003236DF" w:rsidRDefault="00321A8F" w:rsidP="00321A8F">
            <w:pPr>
              <w:ind w:left="361"/>
              <w:rPr>
                <w:rFonts w:ascii="Arial Narrow" w:hAnsi="Arial Narrow" w:cs="Arial"/>
                <w:sz w:val="22"/>
                <w:szCs w:val="22"/>
              </w:rPr>
            </w:pPr>
            <w:r w:rsidRPr="009A7940">
              <w:rPr>
                <w:rFonts w:ascii="Arial Narrow" w:hAnsi="Arial Narrow" w:cs="Arial"/>
                <w:sz w:val="22"/>
                <w:szCs w:val="22"/>
              </w:rPr>
              <w:t xml:space="preserve">Sirirat </w:t>
            </w:r>
            <w:proofErr w:type="spellStart"/>
            <w:r w:rsidRPr="009A7940">
              <w:rPr>
                <w:rFonts w:ascii="Arial Narrow" w:hAnsi="Arial Narrow" w:cs="Arial"/>
                <w:sz w:val="22"/>
                <w:szCs w:val="22"/>
              </w:rPr>
              <w:t>Subsakul</w:t>
            </w:r>
            <w:proofErr w:type="spellEnd"/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</w:t>
            </w:r>
          </w:p>
        </w:tc>
      </w:tr>
      <w:tr w:rsidR="000F2396" w:rsidRPr="00D54E57" w14:paraId="73A4A4C0" w14:textId="77777777" w:rsidTr="6C11CAFA">
        <w:trPr>
          <w:cantSplit/>
          <w:trHeight w:val="275"/>
          <w:jc w:val="center"/>
        </w:trPr>
        <w:tc>
          <w:tcPr>
            <w:tcW w:w="1163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F1CC4D5" w14:textId="5EC532CB" w:rsidR="000F2396" w:rsidRPr="003236DF" w:rsidRDefault="000F2396" w:rsidP="000F2396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  <w:t>16.</w:t>
            </w:r>
            <w:r w:rsidR="00321A8F"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  <w:t>30</w:t>
            </w:r>
          </w:p>
        </w:tc>
        <w:tc>
          <w:tcPr>
            <w:tcW w:w="8661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5DB7EA4E" w14:textId="77777777" w:rsidR="000F2396" w:rsidRPr="003236DF" w:rsidRDefault="000F2396" w:rsidP="000F2396">
            <w:pPr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</w:rPr>
            </w:pPr>
            <w:r w:rsidRPr="003236DF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End of day one </w:t>
            </w:r>
          </w:p>
        </w:tc>
      </w:tr>
    </w:tbl>
    <w:p w14:paraId="6CD19F3F" w14:textId="77777777" w:rsidR="00166521" w:rsidRPr="00D54E57" w:rsidRDefault="00166521" w:rsidP="00166521">
      <w:pPr>
        <w:rPr>
          <w:rFonts w:ascii="Arial Narrow" w:hAnsi="Arial Narrow" w:cs="Arial"/>
          <w:sz w:val="24"/>
          <w:szCs w:val="24"/>
        </w:rPr>
      </w:pPr>
    </w:p>
    <w:p w14:paraId="40D72062" w14:textId="77777777" w:rsidR="00166521" w:rsidRPr="00D54E57" w:rsidRDefault="00166521" w:rsidP="00166521">
      <w:pPr>
        <w:jc w:val="center"/>
        <w:rPr>
          <w:rFonts w:ascii="Arial" w:hAnsi="Arial" w:cs="Arial"/>
          <w:b/>
          <w:bCs w:val="0"/>
          <w:i/>
          <w:iCs/>
          <w:sz w:val="22"/>
          <w:szCs w:val="22"/>
        </w:rPr>
      </w:pP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8683"/>
        <w:gridCol w:w="12"/>
      </w:tblGrid>
      <w:tr w:rsidR="002579F6" w:rsidRPr="002579F6" w14:paraId="55FB9C8B" w14:textId="77777777" w:rsidTr="6C11CAFA">
        <w:trPr>
          <w:cantSplit/>
          <w:trHeight w:val="351"/>
          <w:jc w:val="center"/>
        </w:trPr>
        <w:tc>
          <w:tcPr>
            <w:tcW w:w="9824" w:type="dxa"/>
            <w:gridSpan w:val="3"/>
            <w:tcBorders>
              <w:bottom w:val="single" w:sz="4" w:space="0" w:color="auto"/>
            </w:tcBorders>
            <w:shd w:val="clear" w:color="auto" w:fill="FFF2CC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308413E2" w14:textId="282F884A" w:rsidR="002579F6" w:rsidRPr="00FC31A6" w:rsidRDefault="002579F6">
            <w:pPr>
              <w:jc w:val="center"/>
              <w:rPr>
                <w:rFonts w:ascii="Arial Narrow" w:eastAsia="Arial Unicode MS" w:hAnsi="Arial Narrow"/>
                <w:b/>
                <w:bCs w:val="0"/>
                <w:sz w:val="32"/>
                <w:szCs w:val="32"/>
              </w:rPr>
            </w:pPr>
            <w:r w:rsidRPr="00FC31A6">
              <w:rPr>
                <w:rFonts w:ascii="Arial Narrow" w:hAnsi="Arial Narrow"/>
                <w:b/>
                <w:bCs w:val="0"/>
                <w:sz w:val="32"/>
                <w:szCs w:val="32"/>
              </w:rPr>
              <w:t>Day Two</w:t>
            </w:r>
          </w:p>
        </w:tc>
      </w:tr>
      <w:tr w:rsidR="00E92FF7" w:rsidRPr="00393486" w14:paraId="0E40C373" w14:textId="77777777" w:rsidTr="00D13334">
        <w:trPr>
          <w:cantSplit/>
          <w:trHeight w:val="353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58AB9E59" w14:textId="77777777" w:rsidR="00E92FF7" w:rsidRPr="00393486" w:rsidRDefault="00E92FF7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9348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08.30</w:t>
            </w:r>
          </w:p>
        </w:tc>
        <w:tc>
          <w:tcPr>
            <w:tcW w:w="8695" w:type="dxa"/>
            <w:gridSpan w:val="2"/>
            <w:tcBorders>
              <w:bottom w:val="single" w:sz="4" w:space="0" w:color="auto"/>
            </w:tcBorders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4AE6AB27" w14:textId="77777777" w:rsidR="00E92FF7" w:rsidRPr="00393486" w:rsidRDefault="00E92FF7">
            <w:pPr>
              <w:rPr>
                <w:rFonts w:ascii="Arial Narrow" w:eastAsia="Arial Unicode MS" w:hAnsi="Arial Narrow"/>
                <w:b/>
                <w:bCs w:val="0"/>
                <w:sz w:val="22"/>
                <w:szCs w:val="22"/>
              </w:rPr>
            </w:pPr>
            <w:r w:rsidRPr="00393486">
              <w:rPr>
                <w:rFonts w:ascii="Arial Narrow" w:eastAsia="Arial Unicode MS" w:hAnsi="Arial Narrow"/>
                <w:b/>
                <w:bCs w:val="0"/>
                <w:sz w:val="22"/>
                <w:szCs w:val="22"/>
              </w:rPr>
              <w:t xml:space="preserve">       Registration</w:t>
            </w:r>
          </w:p>
        </w:tc>
      </w:tr>
      <w:tr w:rsidR="00E92FF7" w:rsidRPr="00D54E57" w14:paraId="486C2BF0" w14:textId="77777777" w:rsidTr="00D13334">
        <w:trPr>
          <w:cantSplit/>
          <w:trHeight w:val="315"/>
          <w:jc w:val="center"/>
        </w:trPr>
        <w:tc>
          <w:tcPr>
            <w:tcW w:w="1129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596C2CE" w14:textId="77777777" w:rsidR="00E92FF7" w:rsidRPr="003236DF" w:rsidRDefault="00E92FF7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08.50</w:t>
            </w:r>
          </w:p>
        </w:tc>
        <w:tc>
          <w:tcPr>
            <w:tcW w:w="8695" w:type="dxa"/>
            <w:gridSpan w:val="2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3BC433B" w14:textId="59DA1BD7" w:rsidR="00E92FF7" w:rsidRPr="00CB1DBD" w:rsidRDefault="00E92FF7">
            <w:pPr>
              <w:rPr>
                <w:rFonts w:ascii="Arial Narrow" w:eastAsia="Arial Unicode MS" w:hAnsi="Arial Narrow"/>
                <w:b/>
                <w:bCs w:val="0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 w:val="0"/>
                <w:sz w:val="22"/>
                <w:szCs w:val="22"/>
              </w:rPr>
              <w:t xml:space="preserve">       </w:t>
            </w:r>
            <w:r w:rsidRPr="00CB1DBD">
              <w:rPr>
                <w:rFonts w:ascii="Arial Narrow" w:eastAsia="Arial Unicode MS" w:hAnsi="Arial Narrow"/>
                <w:b/>
                <w:bCs w:val="0"/>
                <w:sz w:val="22"/>
                <w:szCs w:val="22"/>
              </w:rPr>
              <w:t>Welcome</w:t>
            </w:r>
            <w:r>
              <w:rPr>
                <w:rFonts w:ascii="Arial Narrow" w:eastAsia="Arial Unicode MS" w:hAnsi="Arial Narrow"/>
                <w:b/>
                <w:bCs w:val="0"/>
                <w:sz w:val="22"/>
                <w:szCs w:val="22"/>
              </w:rPr>
              <w:t xml:space="preserve"> back</w:t>
            </w:r>
          </w:p>
        </w:tc>
      </w:tr>
      <w:tr w:rsidR="00166521" w:rsidRPr="00CB1DBD" w14:paraId="5E8F553B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348E5AE0" w14:textId="77777777" w:rsidR="00166521" w:rsidRPr="00CB1DBD" w:rsidRDefault="00166521">
            <w:pPr>
              <w:ind w:left="-35"/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</w:pPr>
          </w:p>
        </w:tc>
        <w:tc>
          <w:tcPr>
            <w:tcW w:w="8683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54410CA7" w14:textId="5EB7515A" w:rsidR="00166521" w:rsidRPr="00CB1DBD" w:rsidRDefault="00CB1DBD" w:rsidP="00CB1DBD">
            <w:pPr>
              <w:rPr>
                <w:rFonts w:ascii="Arial Narrow" w:hAnsi="Arial Narrow"/>
                <w:b/>
                <w:bCs w:val="0"/>
                <w:sz w:val="22"/>
                <w:szCs w:val="22"/>
              </w:rPr>
            </w:pPr>
            <w:r w:rsidRPr="00CB1DBD">
              <w:rPr>
                <w:rFonts w:ascii="Arial Narrow" w:hAnsi="Arial Narrow"/>
                <w:b/>
                <w:bCs w:val="0"/>
                <w:sz w:val="22"/>
                <w:szCs w:val="22"/>
              </w:rPr>
              <w:t xml:space="preserve">       Session Five:  </w:t>
            </w:r>
            <w:r>
              <w:rPr>
                <w:rFonts w:ascii="Arial Narrow" w:hAnsi="Arial Narrow"/>
                <w:b/>
                <w:bCs w:val="0"/>
                <w:sz w:val="22"/>
                <w:szCs w:val="22"/>
              </w:rPr>
              <w:t>Reservoir Heterogeneity</w:t>
            </w:r>
            <w:r w:rsidR="00907B58">
              <w:rPr>
                <w:rFonts w:ascii="Arial Narrow" w:hAnsi="Arial Narrow"/>
                <w:b/>
                <w:bCs w:val="0"/>
                <w:sz w:val="22"/>
                <w:szCs w:val="22"/>
              </w:rPr>
              <w:t xml:space="preserve"> and Faulting</w:t>
            </w:r>
          </w:p>
        </w:tc>
      </w:tr>
      <w:tr w:rsidR="00CB1DBD" w:rsidRPr="00E16A08" w14:paraId="0E94B07C" w14:textId="77777777" w:rsidTr="00D13334">
        <w:trPr>
          <w:gridAfter w:val="1"/>
          <w:wAfter w:w="12" w:type="dxa"/>
          <w:cantSplit/>
          <w:trHeight w:val="635"/>
          <w:jc w:val="center"/>
        </w:trPr>
        <w:tc>
          <w:tcPr>
            <w:tcW w:w="1129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3BC5AE39" w14:textId="77777777" w:rsidR="00CB1DBD" w:rsidRPr="003236DF" w:rsidRDefault="00CB1DBD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09.00</w:t>
            </w:r>
          </w:p>
        </w:tc>
        <w:tc>
          <w:tcPr>
            <w:tcW w:w="8683" w:type="dxa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225D6E0" w14:textId="53C68145" w:rsidR="00CB1DBD" w:rsidRPr="00E6203E" w:rsidRDefault="00E6203E" w:rsidP="00CB1DBD">
            <w:pPr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</w:rPr>
            </w:pPr>
            <w:r w:rsidRPr="00E6203E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The Impact of Multiscale Geological Heterogeneity on Migration-assisted Storage in UKCS Saline Aquifers</w:t>
            </w:r>
          </w:p>
          <w:p w14:paraId="0132A29A" w14:textId="100535DE" w:rsidR="00E6203E" w:rsidRPr="003236DF" w:rsidRDefault="00E6203E" w:rsidP="00CB1DBD">
            <w:pPr>
              <w:ind w:left="34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Daniel Arnold</w:t>
            </w:r>
          </w:p>
        </w:tc>
      </w:tr>
      <w:tr w:rsidR="00CB1DBD" w:rsidRPr="00D54E57" w14:paraId="2BA19331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794343E9" w14:textId="1E5AE4E1" w:rsidR="00CB1DBD" w:rsidRPr="003236DF" w:rsidRDefault="00CB1DBD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09.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25</w:t>
            </w:r>
          </w:p>
        </w:tc>
        <w:tc>
          <w:tcPr>
            <w:tcW w:w="8683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5B997737" w14:textId="75FD10EE" w:rsidR="00E6203E" w:rsidRPr="00143BF1" w:rsidRDefault="00143BF1" w:rsidP="00CB1DBD">
            <w:pPr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</w:rPr>
            </w:pPr>
            <w:r w:rsidRPr="00143BF1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Multiscale </w:t>
            </w:r>
            <w:r w:rsidR="00C35862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</w:t>
            </w:r>
            <w:r w:rsidRPr="00143BF1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haracterization of </w:t>
            </w:r>
            <w:r w:rsidR="00C35862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S</w:t>
            </w:r>
            <w:r w:rsidRPr="00143BF1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edimentological </w:t>
            </w:r>
            <w:r w:rsidR="00C35862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H</w:t>
            </w:r>
            <w:r w:rsidRPr="00143BF1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eterogeneity in the Bunter Sandstone </w:t>
            </w:r>
            <w:r w:rsidR="00C35862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F</w:t>
            </w:r>
            <w:r w:rsidRPr="00143BF1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ormation with </w:t>
            </w:r>
            <w:r w:rsidR="00C35862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A</w:t>
            </w:r>
            <w:r w:rsidRPr="00143BF1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pplication to </w:t>
            </w:r>
            <w:r w:rsidR="00A43364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CO</w:t>
            </w:r>
            <w:r w:rsidR="00A43364" w:rsidRPr="00AD13A3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Pr="00143BF1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Storage</w:t>
            </w:r>
          </w:p>
          <w:p w14:paraId="71D8F7A6" w14:textId="234DC537" w:rsidR="00143BF1" w:rsidRPr="003236DF" w:rsidRDefault="00143BF1" w:rsidP="00CB1DBD">
            <w:pPr>
              <w:ind w:left="346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43BF1">
              <w:rPr>
                <w:rFonts w:ascii="Arial Narrow" w:hAnsi="Arial Narrow" w:cs="Arial"/>
                <w:sz w:val="22"/>
                <w:szCs w:val="22"/>
              </w:rPr>
              <w:t>Shakhawat</w:t>
            </w:r>
            <w:proofErr w:type="spellEnd"/>
            <w:r w:rsidRPr="00143BF1">
              <w:rPr>
                <w:rFonts w:ascii="Arial Narrow" w:hAnsi="Arial Narrow" w:cs="Arial"/>
                <w:sz w:val="22"/>
                <w:szCs w:val="22"/>
              </w:rPr>
              <w:t xml:space="preserve"> Hossain</w:t>
            </w:r>
          </w:p>
        </w:tc>
      </w:tr>
      <w:tr w:rsidR="00CB1DBD" w:rsidRPr="00D54E57" w14:paraId="089A2371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1CBE3586" w14:textId="0F3471B4" w:rsidR="00CB1DBD" w:rsidRPr="003236DF" w:rsidRDefault="00143BF1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09.50</w:t>
            </w:r>
          </w:p>
        </w:tc>
        <w:tc>
          <w:tcPr>
            <w:tcW w:w="8683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A50C9E7" w14:textId="7FBCC6E3" w:rsidR="00CB1DBD" w:rsidRPr="00712BF2" w:rsidRDefault="00712BF2" w:rsidP="00CB1DBD">
            <w:pPr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</w:rPr>
            </w:pPr>
            <w:r w:rsidRPr="00712BF2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Characterizing the Invisible and the Forgotten: The Impact of Sub-seismic Faults and Non-Reservoir on 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CO</w:t>
            </w:r>
            <w:r w:rsidR="00AD13A3" w:rsidRPr="00AD13A3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</w:t>
            </w:r>
            <w:r w:rsidRPr="00712BF2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and Brine Migration in Deltaic Reservoirs</w:t>
            </w:r>
          </w:p>
          <w:p w14:paraId="61A4C157" w14:textId="0E871AF3" w:rsidR="00712BF2" w:rsidRPr="003236DF" w:rsidRDefault="00712BF2" w:rsidP="00CB1DBD">
            <w:pPr>
              <w:ind w:left="34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Alexander Bump</w:t>
            </w:r>
          </w:p>
        </w:tc>
      </w:tr>
      <w:tr w:rsidR="00CB1DBD" w:rsidRPr="00D54E57" w14:paraId="0BB49C86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1C4E4AB1" w14:textId="2D59CF9C" w:rsidR="00CB1DBD" w:rsidRPr="003236DF" w:rsidRDefault="00CB1DBD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bookmarkStart w:id="3" w:name="_Hlk204694981"/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10.</w:t>
            </w:r>
            <w:r w:rsidR="001F599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15</w:t>
            </w:r>
          </w:p>
        </w:tc>
        <w:tc>
          <w:tcPr>
            <w:tcW w:w="8683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2943B53" w14:textId="13710DF1" w:rsidR="00CB1DBD" w:rsidRPr="003236DF" w:rsidRDefault="00CB1DBD" w:rsidP="00CB1DB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    </w:t>
            </w:r>
            <w:r w:rsidRPr="00CB1DBD">
              <w:rPr>
                <w:rFonts w:ascii="Arial Narrow" w:hAnsi="Arial Narrow" w:cs="Arial"/>
                <w:b/>
                <w:sz w:val="22"/>
                <w:szCs w:val="22"/>
              </w:rPr>
              <w:t>BREAK</w:t>
            </w:r>
          </w:p>
        </w:tc>
      </w:tr>
      <w:bookmarkEnd w:id="3"/>
      <w:tr w:rsidR="00CB1DBD" w:rsidRPr="00D54E57" w14:paraId="1F587433" w14:textId="77777777" w:rsidTr="00D13334">
        <w:trPr>
          <w:gridAfter w:val="1"/>
          <w:wAfter w:w="12" w:type="dxa"/>
          <w:cantSplit/>
          <w:trHeight w:val="441"/>
          <w:jc w:val="center"/>
        </w:trPr>
        <w:tc>
          <w:tcPr>
            <w:tcW w:w="1129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DF662FE" w14:textId="62073969" w:rsidR="00CB1DBD" w:rsidRPr="003236DF" w:rsidRDefault="00650EFB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10.45</w:t>
            </w:r>
          </w:p>
        </w:tc>
        <w:tc>
          <w:tcPr>
            <w:tcW w:w="8683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A189B9C" w14:textId="62C0B55B" w:rsidR="00446C01" w:rsidRPr="00C01653" w:rsidRDefault="0078432C" w:rsidP="00CB1DBD">
            <w:pPr>
              <w:ind w:left="346"/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</w:pPr>
            <w:r w:rsidRP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Coupled </w:t>
            </w:r>
            <w:r w:rsid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M</w:t>
            </w:r>
            <w:r w:rsidRP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odelling </w:t>
            </w:r>
            <w:r w:rsid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R</w:t>
            </w:r>
            <w:r w:rsidRP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equirements for </w:t>
            </w:r>
            <w:r w:rsid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G</w:t>
            </w:r>
            <w:r w:rsidRP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eological </w:t>
            </w:r>
            <w:r w:rsid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C</w:t>
            </w:r>
            <w:r w:rsidRP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arbon </w:t>
            </w:r>
            <w:r w:rsid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S</w:t>
            </w:r>
            <w:r w:rsidRP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equestration and </w:t>
            </w:r>
            <w:r w:rsid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H</w:t>
            </w:r>
            <w:r w:rsidRP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andling of </w:t>
            </w:r>
            <w:r w:rsid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G</w:t>
            </w:r>
            <w:r w:rsidRP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eological</w:t>
            </w:r>
            <w:r w:rsidRPr="0078432C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="006D54AB">
              <w:rPr>
                <w:rFonts w:ascii="Arial Narrow" w:hAnsi="Arial Narrow" w:cstheme="minorHAnsi"/>
                <w:sz w:val="22"/>
                <w:szCs w:val="22"/>
              </w:rPr>
              <w:t>S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tructural </w:t>
            </w:r>
            <w:r w:rsidR="006D54A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C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omplexity</w:t>
            </w:r>
          </w:p>
          <w:p w14:paraId="2344BECD" w14:textId="7D061BED" w:rsidR="005F3CC2" w:rsidRPr="003236DF" w:rsidRDefault="00C01653" w:rsidP="00CB1DBD">
            <w:pPr>
              <w:ind w:left="346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Dan Roberts</w:t>
            </w:r>
          </w:p>
        </w:tc>
      </w:tr>
      <w:tr w:rsidR="00CB1DBD" w:rsidRPr="00D54E57" w14:paraId="141B584F" w14:textId="77777777" w:rsidTr="00D13334">
        <w:trPr>
          <w:gridAfter w:val="1"/>
          <w:wAfter w:w="12" w:type="dxa"/>
          <w:cantSplit/>
          <w:trHeight w:val="462"/>
          <w:jc w:val="center"/>
        </w:trPr>
        <w:tc>
          <w:tcPr>
            <w:tcW w:w="1129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1F6E8512" w14:textId="08CC3C31" w:rsidR="00CB1DBD" w:rsidRPr="003236DF" w:rsidRDefault="00CB1DBD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11.</w:t>
            </w:r>
            <w:r w:rsidR="00650EFB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</w:t>
            </w: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</w:t>
            </w:r>
          </w:p>
        </w:tc>
        <w:tc>
          <w:tcPr>
            <w:tcW w:w="8683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799CBF19" w14:textId="17ACD7B6" w:rsidR="00E6203E" w:rsidRPr="00C01653" w:rsidRDefault="005F3CC2" w:rsidP="00CB1DBD">
            <w:pPr>
              <w:ind w:left="346"/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</w:pP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Lessons </w:t>
            </w:r>
            <w:r w:rsidR="00C35862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F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rom the </w:t>
            </w:r>
            <w:r w:rsidR="00C35862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F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ield: </w:t>
            </w:r>
            <w:r w:rsidR="00C35862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I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mpact of CO2-filled </w:t>
            </w:r>
            <w:r w:rsidR="00C35862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F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ault </w:t>
            </w:r>
            <w:r w:rsidR="00C35862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Z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ones and </w:t>
            </w:r>
            <w:r w:rsidR="00C35862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C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apillary </w:t>
            </w:r>
            <w:r w:rsidR="00C35862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H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eterogeneity on 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CO</w:t>
            </w:r>
            <w:r w:rsidR="00AD13A3" w:rsidRPr="00AD13A3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</w:t>
            </w:r>
            <w:r w:rsidR="00C35862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P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lume </w:t>
            </w:r>
            <w:r w:rsidR="00C35862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B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ehaviour and </w:t>
            </w:r>
            <w:r w:rsidR="00C35862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R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eservoir </w:t>
            </w:r>
            <w:r w:rsidR="00C35862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P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ressure </w:t>
            </w:r>
            <w:r w:rsidR="00C35862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E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volution</w:t>
            </w:r>
          </w:p>
          <w:p w14:paraId="3E27B36E" w14:textId="466D2500" w:rsidR="005F3CC2" w:rsidRPr="003236DF" w:rsidRDefault="005F3CC2" w:rsidP="00CB1DBD">
            <w:pPr>
              <w:ind w:left="346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Idris Bukar</w:t>
            </w:r>
          </w:p>
        </w:tc>
      </w:tr>
      <w:tr w:rsidR="00CB1DBD" w:rsidRPr="00D54E57" w14:paraId="3771F2CB" w14:textId="77777777" w:rsidTr="00D13334">
        <w:trPr>
          <w:gridAfter w:val="1"/>
          <w:wAfter w:w="12" w:type="dxa"/>
          <w:cantSplit/>
          <w:trHeight w:val="462"/>
          <w:jc w:val="center"/>
        </w:trPr>
        <w:tc>
          <w:tcPr>
            <w:tcW w:w="1129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AA45512" w14:textId="77777777" w:rsidR="00CB1DBD" w:rsidRDefault="408290B6" w:rsidP="6C11CAFA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6C11CAFA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11.3</w:t>
            </w:r>
            <w:r w:rsidR="33ABBECD" w:rsidRPr="6C11CAFA">
              <w:rPr>
                <w:rFonts w:ascii="Arial Narrow" w:eastAsia="Arial Unicode MS" w:hAnsi="Arial Narrow" w:cs="Arial"/>
                <w:b/>
                <w:sz w:val="22"/>
                <w:szCs w:val="22"/>
              </w:rPr>
              <w:t>5</w:t>
            </w:r>
          </w:p>
          <w:p w14:paraId="78177DE7" w14:textId="7C996506" w:rsidR="003D787D" w:rsidRPr="003236DF" w:rsidRDefault="003D787D" w:rsidP="6C11CAFA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Virtual</w:t>
            </w:r>
          </w:p>
        </w:tc>
        <w:tc>
          <w:tcPr>
            <w:tcW w:w="8683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1FC7BCDC" w14:textId="08AD2826" w:rsidR="004A773B" w:rsidRPr="00C01653" w:rsidRDefault="005F3CC2" w:rsidP="00CB1DBD">
            <w:pPr>
              <w:ind w:left="346"/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</w:pP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Thermo-</w:t>
            </w:r>
            <w:proofErr w:type="spellStart"/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poro</w:t>
            </w:r>
            <w:proofErr w:type="spellEnd"/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-mechanical </w:t>
            </w:r>
            <w:r w:rsidR="005A14E8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M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odelling for </w:t>
            </w:r>
            <w:r w:rsidR="005A14E8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F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ault </w:t>
            </w:r>
            <w:r w:rsidR="005A14E8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S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tability </w:t>
            </w:r>
            <w:r w:rsidR="005A14E8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E</w:t>
            </w:r>
            <w:r w:rsidRPr="00C01653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valuation</w:t>
            </w:r>
          </w:p>
          <w:p w14:paraId="6E4A6783" w14:textId="12D98F51" w:rsidR="005F3CC2" w:rsidRPr="003236DF" w:rsidRDefault="005F3CC2" w:rsidP="00CB1DBD">
            <w:pPr>
              <w:ind w:left="346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Silvia Monaco</w:t>
            </w:r>
          </w:p>
        </w:tc>
      </w:tr>
      <w:tr w:rsidR="00CB1DBD" w:rsidRPr="00D54E57" w14:paraId="427E7ABE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DB43068" w14:textId="70437651" w:rsidR="00CB1DBD" w:rsidRPr="003236DF" w:rsidRDefault="00CB1DBD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iCs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iCs/>
                <w:sz w:val="22"/>
                <w:szCs w:val="22"/>
              </w:rPr>
              <w:t>12.</w:t>
            </w:r>
            <w:r w:rsidR="00650EFB">
              <w:rPr>
                <w:rFonts w:ascii="Arial Narrow" w:eastAsia="Arial Unicode MS" w:hAnsi="Arial Narrow" w:cs="Arial"/>
                <w:b/>
                <w:iCs/>
                <w:sz w:val="22"/>
                <w:szCs w:val="22"/>
              </w:rPr>
              <w:t>0</w:t>
            </w:r>
            <w:r w:rsidRPr="003236DF">
              <w:rPr>
                <w:rFonts w:ascii="Arial Narrow" w:eastAsia="Arial Unicode MS" w:hAnsi="Arial Narrow" w:cs="Arial"/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8683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54B1C279" w14:textId="728E741D" w:rsidR="00CB1DBD" w:rsidRPr="003236DF" w:rsidRDefault="00CB1DBD" w:rsidP="00CB1DBD">
            <w:pPr>
              <w:ind w:left="346"/>
              <w:rPr>
                <w:rFonts w:ascii="Arial Narrow" w:hAnsi="Arial Narrow" w:cs="Arial"/>
                <w:b/>
                <w:bCs w:val="0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 w:val="0"/>
                <w:iCs/>
                <w:sz w:val="22"/>
                <w:szCs w:val="22"/>
              </w:rPr>
              <w:t>LUNCH</w:t>
            </w:r>
          </w:p>
        </w:tc>
      </w:tr>
      <w:tr w:rsidR="00CB1DBD" w:rsidRPr="00D54E57" w14:paraId="6F7D95F7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9379C40" w14:textId="77777777" w:rsidR="00CB1DBD" w:rsidRPr="003236DF" w:rsidRDefault="00CB1DBD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iCs/>
                <w:sz w:val="22"/>
                <w:szCs w:val="22"/>
              </w:rPr>
            </w:pPr>
            <w:bookmarkStart w:id="4" w:name="_Hlk204694908"/>
          </w:p>
        </w:tc>
        <w:tc>
          <w:tcPr>
            <w:tcW w:w="8683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3571F2D5" w14:textId="5A9706F5" w:rsidR="00CB1DBD" w:rsidRPr="003236DF" w:rsidRDefault="00CB1DBD" w:rsidP="00CB1DBD">
            <w:pPr>
              <w:rPr>
                <w:rFonts w:ascii="Arial Narrow" w:hAnsi="Arial Narrow" w:cs="Arial"/>
                <w:b/>
                <w:bCs w:val="0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 w:val="0"/>
                <w:sz w:val="22"/>
                <w:szCs w:val="22"/>
              </w:rPr>
              <w:t xml:space="preserve">       </w:t>
            </w:r>
            <w:r w:rsidRPr="00CB1DBD">
              <w:rPr>
                <w:rFonts w:ascii="Arial Narrow" w:hAnsi="Arial Narrow"/>
                <w:b/>
                <w:bCs w:val="0"/>
                <w:sz w:val="22"/>
                <w:szCs w:val="22"/>
              </w:rPr>
              <w:t xml:space="preserve">Session </w:t>
            </w:r>
            <w:r w:rsidR="00FB5C37">
              <w:rPr>
                <w:rFonts w:ascii="Arial Narrow" w:hAnsi="Arial Narrow"/>
                <w:b/>
                <w:bCs w:val="0"/>
                <w:sz w:val="22"/>
                <w:szCs w:val="22"/>
              </w:rPr>
              <w:t>S</w:t>
            </w:r>
            <w:r w:rsidR="0088517E">
              <w:rPr>
                <w:rFonts w:ascii="Arial Narrow" w:hAnsi="Arial Narrow"/>
                <w:b/>
                <w:bCs w:val="0"/>
                <w:sz w:val="22"/>
                <w:szCs w:val="22"/>
              </w:rPr>
              <w:t>ix</w:t>
            </w:r>
            <w:r w:rsidRPr="00CB1DBD">
              <w:rPr>
                <w:rFonts w:ascii="Arial Narrow" w:hAnsi="Arial Narrow"/>
                <w:b/>
                <w:bCs w:val="0"/>
                <w:sz w:val="22"/>
                <w:szCs w:val="22"/>
              </w:rPr>
              <w:t xml:space="preserve">:  </w:t>
            </w:r>
            <w:r w:rsidR="00650EFB">
              <w:rPr>
                <w:rFonts w:ascii="Arial Narrow" w:hAnsi="Arial Narrow"/>
                <w:b/>
                <w:bCs w:val="0"/>
                <w:sz w:val="22"/>
                <w:szCs w:val="22"/>
              </w:rPr>
              <w:t>Injection</w:t>
            </w:r>
          </w:p>
        </w:tc>
      </w:tr>
      <w:bookmarkEnd w:id="4"/>
      <w:tr w:rsidR="00CB1DBD" w:rsidRPr="00D54E57" w14:paraId="2EFAC9F5" w14:textId="77777777" w:rsidTr="00D13334">
        <w:trPr>
          <w:gridAfter w:val="1"/>
          <w:wAfter w:w="12" w:type="dxa"/>
          <w:cantSplit/>
          <w:trHeight w:val="501"/>
          <w:jc w:val="center"/>
        </w:trPr>
        <w:tc>
          <w:tcPr>
            <w:tcW w:w="1129" w:type="dxa"/>
            <w:shd w:val="clear" w:color="auto" w:fill="FFF3CC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3FEF1499" w14:textId="219941CB" w:rsidR="00CB1DBD" w:rsidRPr="003236DF" w:rsidRDefault="00410BE8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i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iCs/>
                <w:sz w:val="22"/>
                <w:szCs w:val="22"/>
              </w:rPr>
              <w:t>12.55</w:t>
            </w:r>
          </w:p>
        </w:tc>
        <w:tc>
          <w:tcPr>
            <w:tcW w:w="8683" w:type="dxa"/>
            <w:shd w:val="clear" w:color="auto" w:fill="FFF3CC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7B44FAEE" w14:textId="291D25DB" w:rsidR="00B578EB" w:rsidRDefault="007D2B3C" w:rsidP="00CB1DBD">
            <w:pPr>
              <w:ind w:left="346"/>
              <w:rPr>
                <w:rFonts w:ascii="Arial Narrow" w:hAnsi="Arial Narrow" w:cstheme="minorHAnsi"/>
                <w:b/>
                <w:i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 w:val="0"/>
                <w:iCs/>
                <w:sz w:val="22"/>
                <w:szCs w:val="22"/>
              </w:rPr>
              <w:t xml:space="preserve">KEYNOTE - </w:t>
            </w:r>
            <w:r w:rsidR="007F3DD9" w:rsidRPr="007F3DD9">
              <w:rPr>
                <w:rFonts w:ascii="Arial Narrow" w:hAnsi="Arial Narrow" w:cstheme="minorHAnsi"/>
                <w:b/>
                <w:iCs/>
                <w:sz w:val="22"/>
                <w:szCs w:val="22"/>
              </w:rPr>
              <w:t xml:space="preserve">Project Poseidon 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CO</w:t>
            </w:r>
            <w:r w:rsidR="00AD13A3" w:rsidRPr="00AD13A3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</w:t>
            </w:r>
            <w:r w:rsidR="007F3DD9">
              <w:rPr>
                <w:rFonts w:ascii="Arial Narrow" w:hAnsi="Arial Narrow" w:cstheme="minorHAnsi"/>
                <w:b/>
                <w:iCs/>
                <w:sz w:val="22"/>
                <w:szCs w:val="22"/>
              </w:rPr>
              <w:t>I</w:t>
            </w:r>
            <w:r w:rsidR="007F3DD9" w:rsidRPr="007F3DD9">
              <w:rPr>
                <w:rFonts w:ascii="Arial Narrow" w:hAnsi="Arial Narrow" w:cstheme="minorHAnsi"/>
                <w:b/>
                <w:iCs/>
                <w:sz w:val="22"/>
                <w:szCs w:val="22"/>
              </w:rPr>
              <w:t xml:space="preserve">njection </w:t>
            </w:r>
            <w:r w:rsidR="007F3DD9">
              <w:rPr>
                <w:rFonts w:ascii="Arial Narrow" w:hAnsi="Arial Narrow" w:cstheme="minorHAnsi"/>
                <w:b/>
                <w:iCs/>
                <w:sz w:val="22"/>
                <w:szCs w:val="22"/>
              </w:rPr>
              <w:t>T</w:t>
            </w:r>
            <w:r w:rsidR="00C87DA1">
              <w:rPr>
                <w:rFonts w:ascii="Arial Narrow" w:hAnsi="Arial Narrow" w:cstheme="minorHAnsi"/>
                <w:b/>
                <w:iCs/>
                <w:sz w:val="22"/>
                <w:szCs w:val="22"/>
              </w:rPr>
              <w:t>e</w:t>
            </w:r>
            <w:r w:rsidR="007F3DD9" w:rsidRPr="007F3DD9">
              <w:rPr>
                <w:rFonts w:ascii="Arial Narrow" w:hAnsi="Arial Narrow" w:cstheme="minorHAnsi"/>
                <w:b/>
                <w:iCs/>
                <w:sz w:val="22"/>
                <w:szCs w:val="22"/>
              </w:rPr>
              <w:t xml:space="preserve">st: How </w:t>
            </w:r>
            <w:r w:rsidR="003963AC">
              <w:rPr>
                <w:rFonts w:ascii="Arial Narrow" w:hAnsi="Arial Narrow" w:cstheme="minorHAnsi"/>
                <w:b/>
                <w:iCs/>
                <w:sz w:val="22"/>
                <w:szCs w:val="22"/>
              </w:rPr>
              <w:t>W</w:t>
            </w:r>
            <w:r w:rsidR="007F3DD9" w:rsidRPr="007F3DD9">
              <w:rPr>
                <w:rFonts w:ascii="Arial Narrow" w:hAnsi="Arial Narrow" w:cstheme="minorHAnsi"/>
                <w:b/>
                <w:iCs/>
                <w:sz w:val="22"/>
                <w:szCs w:val="22"/>
              </w:rPr>
              <w:t xml:space="preserve">e did it and what </w:t>
            </w:r>
            <w:r w:rsidR="003963AC">
              <w:rPr>
                <w:rFonts w:ascii="Arial Narrow" w:hAnsi="Arial Narrow" w:cstheme="minorHAnsi"/>
                <w:b/>
                <w:iCs/>
                <w:sz w:val="22"/>
                <w:szCs w:val="22"/>
              </w:rPr>
              <w:t>W</w:t>
            </w:r>
            <w:r w:rsidR="007F3DD9" w:rsidRPr="007F3DD9">
              <w:rPr>
                <w:rFonts w:ascii="Arial Narrow" w:hAnsi="Arial Narrow" w:cstheme="minorHAnsi"/>
                <w:b/>
                <w:iCs/>
                <w:sz w:val="22"/>
                <w:szCs w:val="22"/>
              </w:rPr>
              <w:t xml:space="preserve">e </w:t>
            </w:r>
            <w:r w:rsidR="007F3DD9">
              <w:rPr>
                <w:rFonts w:ascii="Arial Narrow" w:hAnsi="Arial Narrow" w:cstheme="minorHAnsi"/>
                <w:b/>
                <w:iCs/>
                <w:sz w:val="22"/>
                <w:szCs w:val="22"/>
              </w:rPr>
              <w:t>L</w:t>
            </w:r>
            <w:r w:rsidR="007F3DD9" w:rsidRPr="007F3DD9">
              <w:rPr>
                <w:rFonts w:ascii="Arial Narrow" w:hAnsi="Arial Narrow" w:cstheme="minorHAnsi"/>
                <w:b/>
                <w:iCs/>
                <w:sz w:val="22"/>
                <w:szCs w:val="22"/>
              </w:rPr>
              <w:t>earned</w:t>
            </w:r>
          </w:p>
          <w:p w14:paraId="683AB33B" w14:textId="75718196" w:rsidR="007F3DD9" w:rsidRPr="00C87DA1" w:rsidRDefault="007F3DD9" w:rsidP="00CB1DBD">
            <w:pPr>
              <w:ind w:left="346"/>
              <w:rPr>
                <w:rFonts w:ascii="Arial Narrow" w:hAnsi="Arial Narrow" w:cstheme="minorHAnsi"/>
                <w:bCs w:val="0"/>
                <w:iCs/>
                <w:sz w:val="22"/>
                <w:szCs w:val="22"/>
              </w:rPr>
            </w:pPr>
            <w:r w:rsidRPr="00C87DA1">
              <w:rPr>
                <w:rFonts w:ascii="Arial Narrow" w:hAnsi="Arial Narrow" w:cstheme="minorHAnsi"/>
                <w:bCs w:val="0"/>
                <w:iCs/>
                <w:sz w:val="22"/>
                <w:szCs w:val="22"/>
              </w:rPr>
              <w:t>Chris Furby</w:t>
            </w:r>
          </w:p>
        </w:tc>
      </w:tr>
      <w:tr w:rsidR="00CB1DBD" w:rsidRPr="00D54E57" w14:paraId="332F74EE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B2E668D" w14:textId="77777777" w:rsidR="00CB1DBD" w:rsidRDefault="00CB1DBD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13.</w:t>
            </w:r>
            <w:r w:rsidR="00410BE8">
              <w:rPr>
                <w:rFonts w:ascii="Arial Narrow" w:eastAsia="Arial Unicode MS" w:hAnsi="Arial Narrow" w:cs="Arial"/>
                <w:b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5</w:t>
            </w:r>
          </w:p>
          <w:p w14:paraId="66228894" w14:textId="0E01E4D8" w:rsidR="003D787D" w:rsidRPr="003236DF" w:rsidRDefault="003D787D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Virtual</w:t>
            </w:r>
          </w:p>
        </w:tc>
        <w:tc>
          <w:tcPr>
            <w:tcW w:w="8683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418D9961" w14:textId="027EF7DA" w:rsidR="00B578EB" w:rsidRPr="00534A74" w:rsidRDefault="002F03C7" w:rsidP="00CB1DBD">
            <w:pPr>
              <w:ind w:left="346"/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</w:pPr>
            <w:r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How </w:t>
            </w:r>
            <w:r w:rsidR="00534A74"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S</w:t>
            </w:r>
            <w:r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elected </w:t>
            </w:r>
            <w:r w:rsidR="00534A74"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C</w:t>
            </w:r>
            <w:r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ased-hole </w:t>
            </w:r>
            <w:r w:rsidR="00534A74"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L</w:t>
            </w:r>
            <w:r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ogging </w:t>
            </w:r>
            <w:r w:rsidR="00534A74"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D</w:t>
            </w:r>
            <w:r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elineates the </w:t>
            </w:r>
            <w:r w:rsidR="00534A74"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D</w:t>
            </w:r>
            <w:r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ownhole </w:t>
            </w:r>
            <w:r w:rsidR="00534A74"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D</w:t>
            </w:r>
            <w:r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ynamics of CCS </w:t>
            </w:r>
            <w:r w:rsidR="00534A74"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W</w:t>
            </w:r>
            <w:r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ells </w:t>
            </w:r>
            <w:r w:rsidR="00534A74"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D</w:t>
            </w:r>
            <w:r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uring </w:t>
            </w:r>
            <w:r w:rsidR="00534A74"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B</w:t>
            </w:r>
            <w:r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rine and 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CO</w:t>
            </w:r>
            <w:r w:rsidR="00AD13A3" w:rsidRPr="00AD13A3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</w:t>
            </w:r>
            <w:r w:rsidR="00534A74"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I</w:t>
            </w:r>
            <w:r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njection </w:t>
            </w:r>
            <w:r w:rsidR="00534A74"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T</w:t>
            </w:r>
            <w:r w:rsidRPr="00534A74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ests</w:t>
            </w:r>
          </w:p>
          <w:p w14:paraId="551574D2" w14:textId="69E46AC0" w:rsidR="002F03C7" w:rsidRPr="003236DF" w:rsidRDefault="00455C38" w:rsidP="00CB1DBD">
            <w:pPr>
              <w:ind w:left="346"/>
              <w:rPr>
                <w:rFonts w:ascii="Arial Narrow" w:hAnsi="Arial Narrow" w:cstheme="minorHAnsi"/>
                <w:sz w:val="22"/>
                <w:szCs w:val="22"/>
              </w:rPr>
            </w:pPr>
            <w:r w:rsidRPr="00455C38">
              <w:rPr>
                <w:rFonts w:ascii="Arial Narrow" w:hAnsi="Arial Narrow" w:cstheme="minorHAnsi"/>
                <w:sz w:val="22"/>
                <w:szCs w:val="22"/>
              </w:rPr>
              <w:t>Saida Machicote</w:t>
            </w:r>
          </w:p>
        </w:tc>
      </w:tr>
      <w:tr w:rsidR="00410BE8" w:rsidRPr="00D54E57" w14:paraId="2268C14D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792D46B1" w14:textId="6C8A06DE" w:rsidR="00410BE8" w:rsidRPr="003236DF" w:rsidRDefault="00410BE8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13.50</w:t>
            </w:r>
          </w:p>
        </w:tc>
        <w:tc>
          <w:tcPr>
            <w:tcW w:w="8683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22C162D" w14:textId="5BF711F4" w:rsidR="00410BE8" w:rsidRDefault="002F03C7" w:rsidP="00CB1DBD">
            <w:pPr>
              <w:ind w:left="346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F03C7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Will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T</w:t>
            </w:r>
            <w:r w:rsidRPr="002F03C7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wo-phase 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CO</w:t>
            </w:r>
            <w:r w:rsidR="00AD13A3" w:rsidRPr="00AD13A3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</w:t>
            </w:r>
            <w:r w:rsidR="00C35862">
              <w:rPr>
                <w:rFonts w:ascii="Arial Narrow" w:hAnsi="Arial Narrow" w:cstheme="minorHAnsi"/>
                <w:b/>
                <w:sz w:val="22"/>
                <w:szCs w:val="22"/>
              </w:rPr>
              <w:t>T</w:t>
            </w:r>
            <w:r w:rsidRPr="002F03C7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ubing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F</w:t>
            </w:r>
            <w:r w:rsidRPr="002F03C7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low be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S</w:t>
            </w:r>
            <w:r w:rsidRPr="002F03C7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table –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O</w:t>
            </w:r>
            <w:r w:rsidRPr="002F03C7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r </w:t>
            </w:r>
            <w:proofErr w:type="gramStart"/>
            <w:r>
              <w:rPr>
                <w:rFonts w:ascii="Arial Narrow" w:hAnsi="Arial Narrow" w:cstheme="minorHAnsi"/>
                <w:b/>
                <w:sz w:val="22"/>
                <w:szCs w:val="22"/>
              </w:rPr>
              <w:t>S</w:t>
            </w:r>
            <w:r w:rsidRPr="002F03C7">
              <w:rPr>
                <w:rFonts w:ascii="Arial Narrow" w:hAnsi="Arial Narrow" w:cstheme="minorHAnsi"/>
                <w:b/>
                <w:sz w:val="22"/>
                <w:szCs w:val="22"/>
              </w:rPr>
              <w:t>hould</w:t>
            </w:r>
            <w:proofErr w:type="gramEnd"/>
            <w:r w:rsidRPr="002F03C7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it be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A</w:t>
            </w:r>
            <w:r w:rsidRPr="002F03C7">
              <w:rPr>
                <w:rFonts w:ascii="Arial Narrow" w:hAnsi="Arial Narrow" w:cstheme="minorHAnsi"/>
                <w:b/>
                <w:sz w:val="22"/>
                <w:szCs w:val="22"/>
              </w:rPr>
              <w:t>voided?</w:t>
            </w:r>
          </w:p>
          <w:p w14:paraId="58FDF9E6" w14:textId="4ECE21ED" w:rsidR="002F03C7" w:rsidRPr="002F03C7" w:rsidRDefault="002F03C7" w:rsidP="00CB1DBD">
            <w:pPr>
              <w:ind w:left="346"/>
              <w:rPr>
                <w:rFonts w:ascii="Arial Narrow" w:hAnsi="Arial Narrow" w:cstheme="minorHAnsi"/>
                <w:bCs w:val="0"/>
                <w:sz w:val="22"/>
                <w:szCs w:val="22"/>
              </w:rPr>
            </w:pPr>
            <w:r w:rsidRPr="002F03C7">
              <w:rPr>
                <w:rFonts w:ascii="Arial Narrow" w:hAnsi="Arial Narrow" w:cstheme="minorHAnsi"/>
                <w:bCs w:val="0"/>
                <w:sz w:val="22"/>
                <w:szCs w:val="22"/>
              </w:rPr>
              <w:t>David Hughes</w:t>
            </w:r>
          </w:p>
        </w:tc>
      </w:tr>
      <w:tr w:rsidR="00516D7A" w:rsidRPr="00D54E57" w14:paraId="2E16A51F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6D30A74" w14:textId="18F0EFB3" w:rsidR="00516D7A" w:rsidRPr="003236DF" w:rsidRDefault="00516D7A">
            <w:pPr>
              <w:ind w:left="-35"/>
              <w:jc w:val="center"/>
              <w:rPr>
                <w:rFonts w:ascii="Arial Narrow" w:eastAsia="Arial Unicode MS" w:hAnsi="Arial Narrow" w:cs="Arial"/>
                <w:b/>
                <w:i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iCs/>
                <w:sz w:val="22"/>
                <w:szCs w:val="22"/>
              </w:rPr>
              <w:t>14.15</w:t>
            </w:r>
          </w:p>
        </w:tc>
        <w:tc>
          <w:tcPr>
            <w:tcW w:w="8683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944C3C2" w14:textId="74AFA350" w:rsidR="00516D7A" w:rsidRDefault="00516D7A">
            <w:pPr>
              <w:rPr>
                <w:rFonts w:ascii="Arial Narrow" w:hAnsi="Arial Narrow"/>
                <w:b/>
                <w:bCs w:val="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    Mini-</w:t>
            </w:r>
            <w:r w:rsidRPr="00CB1DBD">
              <w:rPr>
                <w:rFonts w:ascii="Arial Narrow" w:hAnsi="Arial Narrow" w:cs="Arial"/>
                <w:b/>
                <w:sz w:val="22"/>
                <w:szCs w:val="22"/>
              </w:rPr>
              <w:t>BREAK</w:t>
            </w:r>
          </w:p>
        </w:tc>
      </w:tr>
      <w:tr w:rsidR="00CB1DBD" w:rsidRPr="00D54E57" w14:paraId="052D90BD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689FF3C" w14:textId="77777777" w:rsidR="00CB1DBD" w:rsidRDefault="00CB1DBD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14.</w:t>
            </w:r>
            <w:r w:rsidR="002E588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3</w:t>
            </w: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</w:t>
            </w:r>
          </w:p>
          <w:p w14:paraId="3EA5A3BB" w14:textId="4DC7D56F" w:rsidR="00BE54C9" w:rsidRPr="003236DF" w:rsidRDefault="00BE54C9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Virtual</w:t>
            </w:r>
          </w:p>
        </w:tc>
        <w:tc>
          <w:tcPr>
            <w:tcW w:w="8683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3A9FB801" w14:textId="30789A7B" w:rsidR="002E5881" w:rsidRDefault="002E5881" w:rsidP="00CB1DBD">
            <w:pPr>
              <w:ind w:left="346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E5881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Sub-surface </w:t>
            </w:r>
            <w:r w:rsidR="00F22FC9">
              <w:rPr>
                <w:rFonts w:ascii="Arial Narrow" w:hAnsi="Arial Narrow" w:cstheme="minorHAnsi"/>
                <w:b/>
                <w:sz w:val="22"/>
                <w:szCs w:val="22"/>
              </w:rPr>
              <w:t>M</w:t>
            </w:r>
            <w:r w:rsidRPr="002E5881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odelling of </w:t>
            </w:r>
            <w:r w:rsidR="00F22FC9">
              <w:rPr>
                <w:rFonts w:ascii="Arial Narrow" w:hAnsi="Arial Narrow" w:cstheme="minorHAnsi"/>
                <w:b/>
                <w:sz w:val="22"/>
                <w:szCs w:val="22"/>
              </w:rPr>
              <w:t>F</w:t>
            </w:r>
            <w:r w:rsidRPr="002E5881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ormation </w:t>
            </w:r>
            <w:r w:rsidR="00F22FC9">
              <w:rPr>
                <w:rFonts w:ascii="Arial Narrow" w:hAnsi="Arial Narrow" w:cstheme="minorHAnsi"/>
                <w:b/>
                <w:sz w:val="22"/>
                <w:szCs w:val="22"/>
              </w:rPr>
              <w:t>Fl</w:t>
            </w:r>
            <w:r w:rsidRPr="002E5881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uid </w:t>
            </w:r>
            <w:r w:rsidR="00F22FC9">
              <w:rPr>
                <w:rFonts w:ascii="Arial Narrow" w:hAnsi="Arial Narrow" w:cstheme="minorHAnsi"/>
                <w:b/>
                <w:sz w:val="22"/>
                <w:szCs w:val="22"/>
              </w:rPr>
              <w:t>M</w:t>
            </w:r>
            <w:r w:rsidRPr="002E5881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ovement in </w:t>
            </w:r>
            <w:r w:rsidR="00F22FC9">
              <w:rPr>
                <w:rFonts w:ascii="Arial Narrow" w:hAnsi="Arial Narrow" w:cstheme="minorHAnsi"/>
                <w:b/>
                <w:sz w:val="22"/>
                <w:szCs w:val="22"/>
              </w:rPr>
              <w:t>R</w:t>
            </w:r>
            <w:r w:rsidRPr="002E5881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esponse to 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CO</w:t>
            </w:r>
            <w:r w:rsidR="00AD13A3" w:rsidRPr="00AD13A3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</w:t>
            </w:r>
            <w:r w:rsidR="00F22FC9">
              <w:rPr>
                <w:rFonts w:ascii="Arial Narrow" w:hAnsi="Arial Narrow" w:cstheme="minorHAnsi"/>
                <w:b/>
                <w:sz w:val="22"/>
                <w:szCs w:val="22"/>
              </w:rPr>
              <w:t>I</w:t>
            </w:r>
            <w:r w:rsidRPr="002E5881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njection in, at and </w:t>
            </w:r>
            <w:r w:rsidR="00F22FC9">
              <w:rPr>
                <w:rFonts w:ascii="Arial Narrow" w:hAnsi="Arial Narrow" w:cstheme="minorHAnsi"/>
                <w:b/>
                <w:sz w:val="22"/>
                <w:szCs w:val="22"/>
              </w:rPr>
              <w:t>A</w:t>
            </w:r>
            <w:r w:rsidRPr="002E5881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round </w:t>
            </w:r>
            <w:r w:rsidR="00F22FC9">
              <w:rPr>
                <w:rFonts w:ascii="Arial Narrow" w:hAnsi="Arial Narrow" w:cstheme="minorHAnsi"/>
                <w:b/>
                <w:sz w:val="22"/>
                <w:szCs w:val="22"/>
              </w:rPr>
              <w:t>L</w:t>
            </w:r>
            <w:r w:rsidRPr="002E5881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egacy </w:t>
            </w:r>
            <w:r w:rsidR="00F22FC9">
              <w:rPr>
                <w:rFonts w:ascii="Arial Narrow" w:hAnsi="Arial Narrow" w:cstheme="minorHAnsi"/>
                <w:b/>
                <w:sz w:val="22"/>
                <w:szCs w:val="22"/>
              </w:rPr>
              <w:t>W</w:t>
            </w:r>
            <w:r w:rsidRPr="002E5881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ells </w:t>
            </w:r>
          </w:p>
          <w:p w14:paraId="1ED24F01" w14:textId="0CED64D5" w:rsidR="00B578EB" w:rsidRPr="003236DF" w:rsidRDefault="00F22FC9" w:rsidP="00CB1DBD">
            <w:pPr>
              <w:ind w:left="346"/>
              <w:rPr>
                <w:rFonts w:ascii="Arial Narrow" w:hAnsi="Arial Narrow" w:cstheme="minorHAnsi"/>
                <w:sz w:val="22"/>
                <w:szCs w:val="22"/>
              </w:rPr>
            </w:pPr>
            <w:r w:rsidRPr="00F22FC9">
              <w:rPr>
                <w:rFonts w:ascii="Arial Narrow" w:hAnsi="Arial Narrow" w:cstheme="minorHAnsi"/>
                <w:sz w:val="22"/>
                <w:szCs w:val="22"/>
              </w:rPr>
              <w:t>Liz Chellingsworth</w:t>
            </w:r>
          </w:p>
        </w:tc>
      </w:tr>
      <w:tr w:rsidR="00CB1DBD" w:rsidRPr="00D54E57" w14:paraId="353A8A6A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61234CA" w14:textId="77777777" w:rsidR="00CB1DBD" w:rsidRDefault="00CB1DBD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14.</w:t>
            </w:r>
            <w:r w:rsidR="0013108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5</w:t>
            </w:r>
            <w:r w:rsidR="00FB5C3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5</w:t>
            </w:r>
          </w:p>
          <w:p w14:paraId="40165F0D" w14:textId="397DC781" w:rsidR="00437165" w:rsidRPr="003236DF" w:rsidRDefault="00437165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Virtual</w:t>
            </w:r>
          </w:p>
        </w:tc>
        <w:tc>
          <w:tcPr>
            <w:tcW w:w="8683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E83D0E5" w14:textId="1DCB2D30" w:rsidR="00B578EB" w:rsidRPr="005C585A" w:rsidRDefault="00B755C2" w:rsidP="00CB1DBD">
            <w:pPr>
              <w:ind w:left="346"/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</w:pPr>
            <w:r w:rsidRPr="005C585A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DARTS-well: An </w:t>
            </w:r>
            <w:r w:rsidR="005C585A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O</w:t>
            </w:r>
            <w:r w:rsidRPr="005C585A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pen-source </w:t>
            </w:r>
            <w:r w:rsidR="005C585A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C</w:t>
            </w:r>
            <w:r w:rsidRPr="005C585A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oupled </w:t>
            </w:r>
            <w:r w:rsidR="005C585A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W</w:t>
            </w:r>
            <w:r w:rsidRPr="005C585A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ell-reservoir </w:t>
            </w:r>
            <w:r w:rsidR="005C585A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M</w:t>
            </w:r>
            <w:r w:rsidRPr="005C585A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odel for </w:t>
            </w:r>
            <w:r w:rsidR="005C585A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S</w:t>
            </w:r>
            <w:r w:rsidRPr="005C585A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ubsurface 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CO</w:t>
            </w:r>
            <w:r w:rsidR="00AD13A3" w:rsidRPr="00AD13A3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</w:t>
            </w:r>
            <w:r w:rsidR="005C585A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S</w:t>
            </w:r>
            <w:r w:rsidRPr="005C585A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equestration</w:t>
            </w:r>
          </w:p>
          <w:p w14:paraId="5ACE3E58" w14:textId="6E4B26E7" w:rsidR="00B755C2" w:rsidRPr="003236DF" w:rsidRDefault="005C585A" w:rsidP="00CB1DBD">
            <w:pPr>
              <w:ind w:left="346"/>
              <w:rPr>
                <w:rFonts w:ascii="Arial Narrow" w:hAnsi="Arial Narrow" w:cstheme="minorHAnsi"/>
                <w:sz w:val="22"/>
                <w:szCs w:val="22"/>
              </w:rPr>
            </w:pPr>
            <w:r w:rsidRPr="005C585A">
              <w:rPr>
                <w:rFonts w:ascii="Arial Narrow" w:hAnsi="Arial Narrow" w:cstheme="minorHAnsi"/>
                <w:sz w:val="22"/>
                <w:szCs w:val="22"/>
              </w:rPr>
              <w:t>Sajjad Moslehi</w:t>
            </w:r>
          </w:p>
        </w:tc>
      </w:tr>
      <w:tr w:rsidR="00FB5C37" w:rsidRPr="00D54E57" w14:paraId="42E29E39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B02706C" w14:textId="7AF3ECD1" w:rsidR="00FB5C37" w:rsidRPr="003236DF" w:rsidRDefault="00FB5C37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5</w:t>
            </w: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  <w:r w:rsidR="00FA3D7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2</w:t>
            </w: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</w:t>
            </w:r>
          </w:p>
        </w:tc>
        <w:tc>
          <w:tcPr>
            <w:tcW w:w="8683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779FA750" w14:textId="77777777" w:rsidR="00FB5C37" w:rsidRPr="003236DF" w:rsidRDefault="00FB5C3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    </w:t>
            </w:r>
            <w:r w:rsidRPr="00CB1DBD">
              <w:rPr>
                <w:rFonts w:ascii="Arial Narrow" w:hAnsi="Arial Narrow" w:cs="Arial"/>
                <w:b/>
                <w:sz w:val="22"/>
                <w:szCs w:val="22"/>
              </w:rPr>
              <w:t>BREAK</w:t>
            </w:r>
          </w:p>
        </w:tc>
      </w:tr>
      <w:tr w:rsidR="00FA3D77" w:rsidRPr="00D54E57" w14:paraId="19099BAA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5EC87902" w14:textId="77777777" w:rsidR="00FA3D77" w:rsidRPr="003236DF" w:rsidRDefault="00FA3D77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8683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4BD72DEC" w14:textId="50A08330" w:rsidR="00FA3D77" w:rsidRDefault="00FA3D7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    </w:t>
            </w:r>
            <w:r w:rsidRPr="00CB1DBD">
              <w:rPr>
                <w:rFonts w:ascii="Arial Narrow" w:hAnsi="Arial Narrow"/>
                <w:b/>
                <w:bCs w:val="0"/>
                <w:sz w:val="22"/>
                <w:szCs w:val="22"/>
              </w:rPr>
              <w:t>Session</w:t>
            </w:r>
            <w:r w:rsidR="0088517E">
              <w:rPr>
                <w:rFonts w:ascii="Arial Narrow" w:hAnsi="Arial Narrow"/>
                <w:b/>
                <w:bCs w:val="0"/>
                <w:sz w:val="22"/>
                <w:szCs w:val="22"/>
              </w:rPr>
              <w:t xml:space="preserve"> Seven</w:t>
            </w:r>
            <w:r w:rsidRPr="00CB1DBD">
              <w:rPr>
                <w:rFonts w:ascii="Arial Narrow" w:hAnsi="Arial Narrow"/>
                <w:b/>
                <w:bCs w:val="0"/>
                <w:sz w:val="22"/>
                <w:szCs w:val="22"/>
              </w:rPr>
              <w:t xml:space="preserve">:  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CO</w:t>
            </w:r>
            <w:r w:rsidR="00AD13A3" w:rsidRPr="00AD13A3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</w:t>
            </w:r>
            <w:r w:rsidR="00183E0C">
              <w:rPr>
                <w:rFonts w:ascii="Arial Narrow" w:hAnsi="Arial Narrow"/>
                <w:b/>
                <w:sz w:val="22"/>
                <w:szCs w:val="22"/>
              </w:rPr>
              <w:t>St</w:t>
            </w:r>
            <w:r w:rsidR="00183E0C" w:rsidRPr="00183E0C">
              <w:rPr>
                <w:rFonts w:ascii="Arial Narrow" w:hAnsi="Arial Narrow"/>
                <w:b/>
                <w:sz w:val="22"/>
                <w:szCs w:val="22"/>
              </w:rPr>
              <w:t xml:space="preserve">orage in </w:t>
            </w:r>
            <w:r w:rsidR="00183E0C">
              <w:rPr>
                <w:rFonts w:ascii="Arial Narrow" w:hAnsi="Arial Narrow"/>
                <w:b/>
                <w:sz w:val="22"/>
                <w:szCs w:val="22"/>
              </w:rPr>
              <w:t>B</w:t>
            </w:r>
            <w:r w:rsidR="00183E0C" w:rsidRPr="00183E0C">
              <w:rPr>
                <w:rFonts w:ascii="Arial Narrow" w:hAnsi="Arial Narrow"/>
                <w:b/>
                <w:sz w:val="22"/>
                <w:szCs w:val="22"/>
              </w:rPr>
              <w:t>asalts</w:t>
            </w:r>
          </w:p>
        </w:tc>
      </w:tr>
      <w:tr w:rsidR="00183E0C" w:rsidRPr="00D54E57" w14:paraId="6AAF7E44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1546FDFF" w14:textId="06CA667B" w:rsidR="00183E0C" w:rsidRPr="003236DF" w:rsidRDefault="00183E0C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15.45</w:t>
            </w:r>
          </w:p>
        </w:tc>
        <w:tc>
          <w:tcPr>
            <w:tcW w:w="8683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444E28F2" w14:textId="0E75F073" w:rsidR="00183E0C" w:rsidRDefault="00975D7D" w:rsidP="00F63ECA">
            <w:pPr>
              <w:ind w:left="346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975D7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Harnessing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I</w:t>
            </w:r>
            <w:r w:rsidRPr="00975D7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gneous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G</w:t>
            </w:r>
            <w:r w:rsidRPr="00975D7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eochemistry and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G</w:t>
            </w:r>
            <w:r w:rsidRPr="00975D7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eochronology for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E</w:t>
            </w:r>
            <w:r w:rsidRPr="00975D7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nhanced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C</w:t>
            </w:r>
            <w:r w:rsidRPr="00975D7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arbon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S</w:t>
            </w:r>
            <w:r w:rsidRPr="00975D7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equestration in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B</w:t>
            </w:r>
            <w:r w:rsidRPr="00975D7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asaltic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F</w:t>
            </w:r>
            <w:r w:rsidRPr="00975D7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ormations: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F</w:t>
            </w:r>
            <w:r w:rsidRPr="00975D7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rom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M</w:t>
            </w:r>
            <w:r w:rsidRPr="00975D7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ineral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D</w:t>
            </w:r>
            <w:r w:rsidRPr="00975D7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ynamics to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G</w:t>
            </w:r>
            <w:r w:rsidRPr="00975D7D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lobal 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S</w:t>
            </w:r>
            <w:r w:rsidRPr="00975D7D">
              <w:rPr>
                <w:rFonts w:ascii="Arial Narrow" w:hAnsi="Arial Narrow" w:cstheme="minorHAnsi"/>
                <w:b/>
                <w:sz w:val="22"/>
                <w:szCs w:val="22"/>
              </w:rPr>
              <w:t>calability</w:t>
            </w:r>
          </w:p>
          <w:p w14:paraId="5F8ACB8B" w14:textId="1B0DF923" w:rsidR="00975D7D" w:rsidRPr="00975D7D" w:rsidRDefault="00975D7D" w:rsidP="00F63ECA">
            <w:pPr>
              <w:ind w:left="346"/>
              <w:rPr>
                <w:rFonts w:ascii="Arial Narrow" w:hAnsi="Arial Narrow" w:cstheme="minorHAnsi"/>
                <w:bCs w:val="0"/>
                <w:sz w:val="22"/>
                <w:szCs w:val="22"/>
              </w:rPr>
            </w:pPr>
            <w:r w:rsidRPr="00975D7D">
              <w:rPr>
                <w:rFonts w:ascii="Arial Narrow" w:hAnsi="Arial Narrow" w:cstheme="minorHAnsi"/>
                <w:bCs w:val="0"/>
                <w:sz w:val="22"/>
                <w:szCs w:val="22"/>
              </w:rPr>
              <w:t>Gaurav Kumar</w:t>
            </w:r>
          </w:p>
        </w:tc>
      </w:tr>
      <w:tr w:rsidR="00CB1DBD" w:rsidRPr="00D54E57" w14:paraId="11236D21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FFFFFF" w:themeFill="background1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1DCD32F" w14:textId="280B392D" w:rsidR="00CB1DBD" w:rsidRPr="003236DF" w:rsidRDefault="00CB1DBD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</w:t>
            </w:r>
            <w:r w:rsidR="00F63ECA">
              <w:rPr>
                <w:rFonts w:ascii="Arial Narrow" w:eastAsia="Arial Unicode MS" w:hAnsi="Arial Narrow" w:cs="Arial"/>
                <w:b/>
                <w:sz w:val="22"/>
                <w:szCs w:val="22"/>
              </w:rPr>
              <w:t>6</w:t>
            </w: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  <w:r w:rsidR="00F63ECA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</w:t>
            </w: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0</w:t>
            </w:r>
          </w:p>
        </w:tc>
        <w:tc>
          <w:tcPr>
            <w:tcW w:w="8683" w:type="dxa"/>
            <w:shd w:val="clear" w:color="auto" w:fill="FFFFFF" w:themeFill="background1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3AECE393" w14:textId="16914F60" w:rsidR="00F63ECA" w:rsidRPr="00B578EB" w:rsidRDefault="00F63ECA" w:rsidP="00F63ECA">
            <w:pPr>
              <w:ind w:left="346"/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</w:pPr>
            <w:r w:rsidRPr="00B578E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 xml:space="preserve">Controls on 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CO</w:t>
            </w:r>
            <w:r w:rsidR="00AD13A3" w:rsidRPr="00AD13A3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="00AD13A3"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</w:t>
            </w:r>
            <w:r w:rsidRPr="00B578EB">
              <w:rPr>
                <w:rFonts w:ascii="Arial Narrow" w:hAnsi="Arial Narrow" w:cstheme="minorHAnsi"/>
                <w:b/>
                <w:bCs w:val="0"/>
                <w:sz w:val="22"/>
                <w:szCs w:val="22"/>
              </w:rPr>
              <w:t>Storage Potential in the Antrim Lava Group, Northern Ireland</w:t>
            </w:r>
          </w:p>
          <w:p w14:paraId="6ED2340B" w14:textId="2CE351E0" w:rsidR="00CB1DBD" w:rsidRPr="003236DF" w:rsidRDefault="00F63ECA" w:rsidP="00F63ECA">
            <w:pPr>
              <w:ind w:left="346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Jonathan Alexander</w:t>
            </w:r>
          </w:p>
        </w:tc>
      </w:tr>
      <w:tr w:rsidR="00CB1DBD" w:rsidRPr="00D54E57" w14:paraId="2A7CA1D1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171E4A75" w14:textId="39ECF6FF" w:rsidR="00CB1DBD" w:rsidRPr="003236DF" w:rsidRDefault="00CB1DBD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</w:t>
            </w:r>
            <w:r w:rsidR="00FB5C3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6</w:t>
            </w:r>
            <w:r w:rsidRPr="003236DF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  <w:r w:rsidR="00F63ECA">
              <w:rPr>
                <w:rFonts w:ascii="Arial Narrow" w:eastAsia="Arial Unicode MS" w:hAnsi="Arial Narrow" w:cs="Arial"/>
                <w:b/>
                <w:sz w:val="22"/>
                <w:szCs w:val="22"/>
              </w:rPr>
              <w:t>35</w:t>
            </w:r>
          </w:p>
        </w:tc>
        <w:tc>
          <w:tcPr>
            <w:tcW w:w="8683" w:type="dxa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7DC3DE86" w14:textId="77777777" w:rsidR="00CB1DBD" w:rsidRDefault="000A3122" w:rsidP="00CB1DBD">
            <w:pPr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Wrap Up </w:t>
            </w:r>
            <w:r w:rsidR="006C49E9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and Panel Discussion</w:t>
            </w:r>
          </w:p>
          <w:p w14:paraId="5CEB2A0D" w14:textId="2B625244" w:rsidR="006C49E9" w:rsidRDefault="006C49E9" w:rsidP="00CB1DBD">
            <w:pPr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Do Our Current Appraisal Methods Support Cost-effective CCS?</w:t>
            </w:r>
          </w:p>
          <w:p w14:paraId="3D1CD63C" w14:textId="77777777" w:rsidR="006C49E9" w:rsidRDefault="007F4952" w:rsidP="007F4952">
            <w:pPr>
              <w:ind w:left="346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7F4952">
              <w:rPr>
                <w:rFonts w:ascii="Arial Narrow" w:hAnsi="Arial Narrow" w:cs="Arial"/>
                <w:bCs w:val="0"/>
                <w:sz w:val="22"/>
                <w:szCs w:val="22"/>
              </w:rPr>
              <w:t>Balancing Confidence, Cost, and Timelines in a Cost-constrained CCS Landscape</w:t>
            </w:r>
          </w:p>
          <w:p w14:paraId="1CC9209C" w14:textId="77777777" w:rsidR="002572DC" w:rsidRDefault="002572DC" w:rsidP="007F4952">
            <w:pPr>
              <w:ind w:left="346"/>
              <w:rPr>
                <w:rFonts w:ascii="Arial Narrow" w:hAnsi="Arial Narrow" w:cs="Arial"/>
                <w:bCs w:val="0"/>
                <w:sz w:val="22"/>
                <w:szCs w:val="22"/>
              </w:rPr>
            </w:pPr>
          </w:p>
          <w:p w14:paraId="2F4914D3" w14:textId="2D367EB9" w:rsidR="00F96796" w:rsidRDefault="00A74D58" w:rsidP="007F4952">
            <w:pPr>
              <w:ind w:left="346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>
              <w:rPr>
                <w:rFonts w:ascii="Arial Narrow" w:hAnsi="Arial Narrow" w:cs="Arial"/>
                <w:bCs w:val="0"/>
                <w:sz w:val="22"/>
                <w:szCs w:val="22"/>
              </w:rPr>
              <w:t>Chair:</w:t>
            </w:r>
            <w:r w:rsidR="00C55BD0">
              <w:rPr>
                <w:rFonts w:ascii="Arial Narrow" w:hAnsi="Arial Narrow" w:cs="Arial"/>
                <w:bCs w:val="0"/>
                <w:sz w:val="22"/>
                <w:szCs w:val="22"/>
              </w:rPr>
              <w:t xml:space="preserve"> </w:t>
            </w:r>
            <w:r w:rsidR="00F96796" w:rsidRPr="00F96796">
              <w:rPr>
                <w:rFonts w:ascii="Arial Narrow" w:hAnsi="Arial Narrow" w:cs="Arial"/>
                <w:bCs w:val="0"/>
                <w:sz w:val="22"/>
                <w:szCs w:val="22"/>
              </w:rPr>
              <w:t>S</w:t>
            </w:r>
            <w:r w:rsidR="00862C08">
              <w:rPr>
                <w:rFonts w:ascii="Arial Narrow" w:hAnsi="Arial Narrow" w:cs="Arial"/>
                <w:bCs w:val="0"/>
                <w:sz w:val="22"/>
                <w:szCs w:val="22"/>
              </w:rPr>
              <w:t>t</w:t>
            </w:r>
            <w:r w:rsidR="00F96796" w:rsidRPr="00F96796">
              <w:rPr>
                <w:rFonts w:ascii="Arial Narrow" w:hAnsi="Arial Narrow" w:cs="Arial"/>
                <w:bCs w:val="0"/>
                <w:sz w:val="22"/>
                <w:szCs w:val="22"/>
              </w:rPr>
              <w:t xml:space="preserve">uart </w:t>
            </w:r>
            <w:r w:rsidR="00713AF1" w:rsidRPr="00713AF1">
              <w:rPr>
                <w:rFonts w:ascii="Arial Narrow" w:hAnsi="Arial Narrow" w:cs="Arial"/>
                <w:bCs w:val="0"/>
                <w:sz w:val="22"/>
                <w:szCs w:val="22"/>
              </w:rPr>
              <w:t>Haszeldine</w:t>
            </w:r>
          </w:p>
          <w:p w14:paraId="09340826" w14:textId="4D0BA92C" w:rsidR="00F96796" w:rsidRDefault="00A74D58" w:rsidP="007F4952">
            <w:pPr>
              <w:ind w:left="346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A74D58">
              <w:rPr>
                <w:rFonts w:ascii="Arial Narrow" w:hAnsi="Arial Narrow" w:cs="Arial"/>
                <w:sz w:val="22"/>
                <w:szCs w:val="22"/>
                <w:lang w:val="en-US"/>
              </w:rPr>
              <w:t>Chris Furby</w:t>
            </w:r>
          </w:p>
          <w:p w14:paraId="49A43C7C" w14:textId="181E57F0" w:rsidR="002572DC" w:rsidRDefault="00E94794" w:rsidP="007F4952">
            <w:pPr>
              <w:ind w:left="346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E94794">
              <w:rPr>
                <w:rFonts w:ascii="Arial Narrow" w:hAnsi="Arial Narrow" w:cs="Arial"/>
                <w:sz w:val="22"/>
                <w:szCs w:val="22"/>
                <w:lang w:val="en-US"/>
              </w:rPr>
              <w:t>Sarah Buchanan</w:t>
            </w:r>
          </w:p>
          <w:p w14:paraId="2EE6CB12" w14:textId="552B1D12" w:rsidR="00C55BD0" w:rsidRDefault="00C55BD0" w:rsidP="007F4952">
            <w:pPr>
              <w:ind w:left="346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C55BD0">
              <w:rPr>
                <w:rFonts w:ascii="Arial Narrow" w:hAnsi="Arial Narrow" w:cs="Arial"/>
                <w:sz w:val="22"/>
                <w:szCs w:val="22"/>
                <w:lang w:val="en-US"/>
              </w:rPr>
              <w:t>Jim White</w:t>
            </w:r>
          </w:p>
          <w:p w14:paraId="001B1837" w14:textId="638F6560" w:rsidR="002572DC" w:rsidRPr="007F4952" w:rsidRDefault="002572DC" w:rsidP="007F4952">
            <w:pPr>
              <w:ind w:left="346"/>
              <w:rPr>
                <w:rFonts w:ascii="Arial Narrow" w:hAnsi="Arial Narrow" w:cs="Arial"/>
                <w:bCs w:val="0"/>
                <w:sz w:val="22"/>
                <w:szCs w:val="22"/>
              </w:rPr>
            </w:pPr>
          </w:p>
        </w:tc>
      </w:tr>
      <w:tr w:rsidR="00CB1DBD" w:rsidRPr="00D54E57" w14:paraId="682EE55F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A588C5F" w14:textId="7892106A" w:rsidR="00CB1DBD" w:rsidRPr="003236DF" w:rsidRDefault="00FB5C37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  <w:t>17.</w:t>
            </w:r>
            <w:r w:rsidR="000A3122"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  <w:t>15</w:t>
            </w:r>
          </w:p>
        </w:tc>
        <w:tc>
          <w:tcPr>
            <w:tcW w:w="8683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20DD848" w14:textId="26D43039" w:rsidR="00CB1DBD" w:rsidRPr="003236DF" w:rsidRDefault="000A3122" w:rsidP="00CB1DBD">
            <w:pPr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Closing Remarks and Prize Award</w:t>
            </w:r>
          </w:p>
        </w:tc>
      </w:tr>
      <w:tr w:rsidR="000A3122" w:rsidRPr="00D54E57" w14:paraId="11EACBB4" w14:textId="77777777" w:rsidTr="00D13334">
        <w:trPr>
          <w:gridAfter w:val="1"/>
          <w:wAfter w:w="12" w:type="dxa"/>
          <w:cantSplit/>
          <w:trHeight w:val="203"/>
          <w:jc w:val="center"/>
        </w:trPr>
        <w:tc>
          <w:tcPr>
            <w:tcW w:w="1129" w:type="dxa"/>
            <w:shd w:val="clear" w:color="auto" w:fill="D9E2F3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3B096FC" w14:textId="3DE0503A" w:rsidR="000A3122" w:rsidRDefault="000A3122" w:rsidP="00CB1DBD">
            <w:pPr>
              <w:ind w:left="-35"/>
              <w:jc w:val="center"/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 w:val="0"/>
                <w:sz w:val="22"/>
                <w:szCs w:val="22"/>
              </w:rPr>
              <w:t>17.30-18.30</w:t>
            </w:r>
          </w:p>
        </w:tc>
        <w:tc>
          <w:tcPr>
            <w:tcW w:w="8683" w:type="dxa"/>
            <w:shd w:val="clear" w:color="auto" w:fill="D9E2F3"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89D3444" w14:textId="5BD3C898" w:rsidR="000A3122" w:rsidRDefault="000A3122" w:rsidP="00CB1DBD">
            <w:pPr>
              <w:ind w:left="346"/>
              <w:rPr>
                <w:rFonts w:ascii="Arial Narrow" w:hAnsi="Arial Narrow" w:cs="Arial"/>
                <w:b/>
                <w:bCs w:val="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Drinks Reception</w:t>
            </w:r>
          </w:p>
        </w:tc>
      </w:tr>
    </w:tbl>
    <w:p w14:paraId="6A225596" w14:textId="77777777" w:rsidR="00166521" w:rsidRDefault="00166521" w:rsidP="00166521">
      <w:pPr>
        <w:rPr>
          <w:rFonts w:ascii="Arial" w:hAnsi="Arial" w:cs="Arial"/>
          <w:b/>
          <w:bCs w:val="0"/>
          <w:i/>
          <w:iCs/>
          <w:sz w:val="22"/>
          <w:szCs w:val="22"/>
        </w:rPr>
      </w:pPr>
    </w:p>
    <w:p w14:paraId="423A57CC" w14:textId="77777777" w:rsidR="00166521" w:rsidRPr="00D54E57" w:rsidRDefault="00166521" w:rsidP="00166521">
      <w:pPr>
        <w:jc w:val="center"/>
        <w:rPr>
          <w:rFonts w:ascii="Arial" w:hAnsi="Arial" w:cs="Arial"/>
          <w:b/>
          <w:bCs w:val="0"/>
          <w:i/>
          <w:iCs/>
          <w:sz w:val="22"/>
          <w:szCs w:val="22"/>
        </w:rPr>
      </w:pPr>
    </w:p>
    <w:p w14:paraId="6D282470" w14:textId="77777777" w:rsidR="00166521" w:rsidRPr="00D54E57" w:rsidRDefault="00166521" w:rsidP="00166521">
      <w:pPr>
        <w:jc w:val="center"/>
        <w:rPr>
          <w:rFonts w:ascii="Arial" w:hAnsi="Arial" w:cs="Arial"/>
          <w:b/>
          <w:bCs w:val="0"/>
          <w:i/>
          <w:iCs/>
          <w:sz w:val="22"/>
          <w:szCs w:val="22"/>
        </w:rPr>
      </w:pPr>
    </w:p>
    <w:tbl>
      <w:tblPr>
        <w:tblW w:w="9781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E87B99" w:rsidRPr="00E87B99" w14:paraId="1B56C013" w14:textId="77777777" w:rsidTr="00E87B99">
        <w:trPr>
          <w:trHeight w:val="30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7109ADA0" w14:textId="5B45EB0C" w:rsidR="00E87B99" w:rsidRPr="00E87B99" w:rsidRDefault="00E87B99" w:rsidP="00E87B99">
            <w:pPr>
              <w:jc w:val="center"/>
              <w:rPr>
                <w:rFonts w:ascii="Arial" w:hAnsi="Arial" w:cs="Arial"/>
                <w:b/>
                <w:bCs w:val="0"/>
                <w:i/>
                <w:iCs/>
                <w:sz w:val="32"/>
                <w:szCs w:val="32"/>
              </w:rPr>
            </w:pPr>
            <w:r w:rsidRPr="00E87B99">
              <w:rPr>
                <w:rFonts w:ascii="Arial" w:hAnsi="Arial" w:cs="Arial"/>
                <w:b/>
                <w:bCs w:val="0"/>
                <w:sz w:val="32"/>
                <w:szCs w:val="32"/>
              </w:rPr>
              <w:t>Poster</w:t>
            </w:r>
          </w:p>
        </w:tc>
      </w:tr>
      <w:tr w:rsidR="00E87B99" w:rsidRPr="00E87B99" w14:paraId="0206EFAC" w14:textId="77777777" w:rsidTr="00E87B99">
        <w:trPr>
          <w:trHeight w:val="30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807CB" w14:textId="7DD19952" w:rsidR="00E87B99" w:rsidRPr="00AD13A3" w:rsidRDefault="00E76162" w:rsidP="00E87B99">
            <w:pPr>
              <w:rPr>
                <w:rFonts w:ascii="Arial Narrow" w:hAnsi="Arial Narrow" w:cs="Arial"/>
                <w:b/>
                <w:bCs w:val="0"/>
                <w:sz w:val="22"/>
                <w:szCs w:val="22"/>
              </w:rPr>
            </w:pPr>
            <w:r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Integrating Dissolved CO</w:t>
            </w:r>
            <w:r w:rsidRPr="00AD13A3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Pr="00AD13A3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Storage with Geothermal Energy Production: A Feasibility Study in Carbonate Reservoir</w:t>
            </w:r>
          </w:p>
          <w:p w14:paraId="6A135092" w14:textId="30BC2563" w:rsidR="007A16BE" w:rsidRPr="007A16BE" w:rsidRDefault="00AD13A3" w:rsidP="00E87B99">
            <w:pPr>
              <w:rPr>
                <w:rFonts w:ascii="Arial Narrow" w:hAnsi="Arial Narrow" w:cs="Arial"/>
                <w:sz w:val="22"/>
                <w:szCs w:val="22"/>
              </w:rPr>
            </w:pPr>
            <w:r w:rsidRPr="00AD13A3">
              <w:rPr>
                <w:rFonts w:ascii="Arial Narrow" w:hAnsi="Arial Narrow" w:cs="Arial"/>
                <w:sz w:val="22"/>
                <w:szCs w:val="22"/>
              </w:rPr>
              <w:t>Sophie Godefroy</w:t>
            </w:r>
          </w:p>
        </w:tc>
      </w:tr>
      <w:tr w:rsidR="00D8520A" w:rsidRPr="00E87B99" w14:paraId="7497E806" w14:textId="77777777" w:rsidTr="00E87B99">
        <w:trPr>
          <w:trHeight w:val="30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8C64" w14:textId="44013953" w:rsidR="0046746E" w:rsidRPr="00261BFD" w:rsidRDefault="0046746E" w:rsidP="0046746E">
            <w:pPr>
              <w:rPr>
                <w:rFonts w:ascii="Arial Narrow" w:hAnsi="Arial Narrow" w:cs="Calibri"/>
                <w:b/>
                <w:bCs w:val="0"/>
                <w:color w:val="000000"/>
                <w:sz w:val="22"/>
                <w:szCs w:val="22"/>
              </w:rPr>
            </w:pPr>
            <w:r w:rsidRPr="00261BFD">
              <w:rPr>
                <w:rFonts w:ascii="Arial Narrow" w:hAnsi="Arial Narrow" w:cs="Calibri"/>
                <w:b/>
                <w:bCs w:val="0"/>
                <w:color w:val="000000"/>
                <w:sz w:val="22"/>
                <w:szCs w:val="22"/>
              </w:rPr>
              <w:t xml:space="preserve">Subsurface </w:t>
            </w:r>
            <w:r w:rsidR="009648A3" w:rsidRPr="00261BFD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>CO</w:t>
            </w:r>
            <w:r w:rsidR="009648A3" w:rsidRPr="00261BFD">
              <w:rPr>
                <w:rFonts w:ascii="Cambria Math" w:hAnsi="Cambria Math" w:cs="Cambria Math"/>
                <w:b/>
                <w:bCs w:val="0"/>
                <w:sz w:val="22"/>
                <w:szCs w:val="22"/>
              </w:rPr>
              <w:t>₂</w:t>
            </w:r>
            <w:r w:rsidR="009648A3" w:rsidRPr="00261BFD">
              <w:rPr>
                <w:rFonts w:ascii="Arial Narrow" w:hAnsi="Arial Narrow" w:cs="Arial"/>
                <w:b/>
                <w:bCs w:val="0"/>
                <w:sz w:val="22"/>
                <w:szCs w:val="22"/>
              </w:rPr>
              <w:t xml:space="preserve"> </w:t>
            </w:r>
            <w:r w:rsidRPr="00261BFD">
              <w:rPr>
                <w:rFonts w:ascii="Arial Narrow" w:hAnsi="Arial Narrow" w:cs="Calibri"/>
                <w:b/>
                <w:bCs w:val="0"/>
                <w:color w:val="000000"/>
                <w:sz w:val="22"/>
                <w:szCs w:val="22"/>
              </w:rPr>
              <w:t xml:space="preserve">Storage Potential of the Gas Shales from the </w:t>
            </w:r>
            <w:proofErr w:type="spellStart"/>
            <w:r w:rsidRPr="00261BFD">
              <w:rPr>
                <w:rFonts w:ascii="Arial Narrow" w:hAnsi="Arial Narrow" w:cs="Calibri"/>
                <w:b/>
                <w:bCs w:val="0"/>
                <w:color w:val="000000"/>
                <w:sz w:val="22"/>
                <w:szCs w:val="22"/>
              </w:rPr>
              <w:t>Longmaxi</w:t>
            </w:r>
            <w:proofErr w:type="spellEnd"/>
            <w:r w:rsidRPr="00261BFD">
              <w:rPr>
                <w:rFonts w:ascii="Arial Narrow" w:hAnsi="Arial Narrow" w:cs="Calibri"/>
                <w:b/>
                <w:bCs w:val="0"/>
                <w:color w:val="000000"/>
                <w:sz w:val="22"/>
                <w:szCs w:val="22"/>
              </w:rPr>
              <w:t xml:space="preserve"> Formation: An Integrated Geochemical, Geomodelling and Imaging Investigation</w:t>
            </w:r>
          </w:p>
          <w:p w14:paraId="26B122FC" w14:textId="4BCAF7CA" w:rsidR="00D8520A" w:rsidRPr="004B535D" w:rsidRDefault="004B535D" w:rsidP="0046746E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1BFD">
              <w:rPr>
                <w:rFonts w:ascii="Arial Narrow" w:hAnsi="Arial Narrow" w:cs="Arial"/>
                <w:sz w:val="22"/>
                <w:szCs w:val="22"/>
              </w:rPr>
              <w:t>Maisie He</w:t>
            </w:r>
          </w:p>
        </w:tc>
      </w:tr>
      <w:tr w:rsidR="00261BFD" w:rsidRPr="00E87B99" w14:paraId="2774AB1B" w14:textId="77777777" w:rsidTr="00E87B99">
        <w:trPr>
          <w:trHeight w:val="300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48F5" w14:textId="77777777" w:rsidR="0039708B" w:rsidRPr="0039708B" w:rsidRDefault="0039708B" w:rsidP="0039708B">
            <w:pPr>
              <w:rPr>
                <w:rFonts w:ascii="Arial Narrow" w:hAnsi="Arial Narrow" w:cs="Calibri"/>
                <w:b/>
                <w:bCs w:val="0"/>
                <w:color w:val="000000"/>
                <w:sz w:val="22"/>
                <w:szCs w:val="22"/>
              </w:rPr>
            </w:pPr>
            <w:r w:rsidRPr="0039708B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Integrated Assessment Models should better constrain CO2 geological storage projections</w:t>
            </w:r>
          </w:p>
          <w:p w14:paraId="6897ED3A" w14:textId="53369B4C" w:rsidR="0039708B" w:rsidRPr="00B612B5" w:rsidRDefault="00B612B5" w:rsidP="0046746E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B612B5">
              <w:rPr>
                <w:rFonts w:ascii="Arial Narrow" w:hAnsi="Arial Narrow" w:cs="Calibri"/>
                <w:color w:val="000000"/>
                <w:sz w:val="22"/>
                <w:szCs w:val="22"/>
              </w:rPr>
              <w:t>Iain De Jonge-Anderson</w:t>
            </w:r>
          </w:p>
        </w:tc>
      </w:tr>
    </w:tbl>
    <w:p w14:paraId="380ADFE3" w14:textId="77777777" w:rsidR="00166521" w:rsidRPr="00D54E57" w:rsidRDefault="00166521" w:rsidP="00166521">
      <w:pPr>
        <w:jc w:val="center"/>
        <w:rPr>
          <w:rFonts w:ascii="Arial" w:hAnsi="Arial" w:cs="Arial"/>
          <w:b/>
          <w:bCs w:val="0"/>
          <w:i/>
          <w:iCs/>
          <w:sz w:val="22"/>
          <w:szCs w:val="22"/>
        </w:rPr>
      </w:pPr>
    </w:p>
    <w:p w14:paraId="143BE368" w14:textId="77777777" w:rsidR="00166521" w:rsidRPr="00D54E57" w:rsidRDefault="00166521" w:rsidP="00166521">
      <w:pPr>
        <w:jc w:val="center"/>
        <w:rPr>
          <w:rFonts w:ascii="Arial" w:hAnsi="Arial" w:cs="Arial"/>
          <w:b/>
          <w:bCs w:val="0"/>
          <w:i/>
          <w:iCs/>
          <w:sz w:val="22"/>
          <w:szCs w:val="22"/>
        </w:rPr>
      </w:pPr>
    </w:p>
    <w:p w14:paraId="78866D2F" w14:textId="293C28DC" w:rsidR="00166521" w:rsidRPr="00D54E57" w:rsidRDefault="00166521" w:rsidP="00166521">
      <w:pPr>
        <w:jc w:val="center"/>
        <w:rPr>
          <w:rFonts w:ascii="Arial" w:hAnsi="Arial" w:cs="Arial"/>
          <w:b/>
          <w:bCs w:val="0"/>
          <w:i/>
          <w:iCs/>
          <w:sz w:val="22"/>
          <w:szCs w:val="22"/>
        </w:rPr>
      </w:pPr>
    </w:p>
    <w:p w14:paraId="7FAAEE18" w14:textId="77777777" w:rsidR="00A635C1" w:rsidRDefault="00A635C1" w:rsidP="00A635C1">
      <w:pPr>
        <w:jc w:val="center"/>
        <w:rPr>
          <w:rFonts w:ascii="Arial" w:hAnsi="Arial" w:cs="Arial"/>
          <w:b/>
          <w:bCs w:val="0"/>
          <w:i/>
          <w:iCs/>
          <w:sz w:val="22"/>
          <w:szCs w:val="22"/>
        </w:rPr>
      </w:pPr>
      <w:r w:rsidRPr="00E76C0C">
        <w:rPr>
          <w:rFonts w:ascii="Arial" w:hAnsi="Arial" w:cs="Arial"/>
          <w:b/>
          <w:bCs w:val="0"/>
          <w:i/>
          <w:iCs/>
          <w:sz w:val="22"/>
          <w:szCs w:val="22"/>
        </w:rPr>
        <w:t>The Energy Group of the Geological Society would like to thank the following for their support for this conference:</w:t>
      </w:r>
    </w:p>
    <w:p w14:paraId="77B1A4E5" w14:textId="77777777" w:rsidR="00A635C1" w:rsidRDefault="00A635C1" w:rsidP="00A635C1">
      <w:pPr>
        <w:jc w:val="center"/>
        <w:rPr>
          <w:rFonts w:ascii="Arial" w:hAnsi="Arial" w:cs="Arial"/>
          <w:b/>
          <w:bCs w:val="0"/>
          <w:i/>
          <w:iCs/>
          <w:sz w:val="24"/>
          <w:szCs w:val="24"/>
        </w:rPr>
      </w:pPr>
    </w:p>
    <w:p w14:paraId="750FDC06" w14:textId="4C7E9443" w:rsidR="00A635C1" w:rsidRDefault="00A635C1" w:rsidP="00A635C1">
      <w:pPr>
        <w:jc w:val="center"/>
        <w:rPr>
          <w:rFonts w:ascii="Arial" w:hAnsi="Arial" w:cs="Arial"/>
          <w:b/>
          <w:bCs w:val="0"/>
          <w:i/>
          <w:iCs/>
          <w:sz w:val="22"/>
          <w:szCs w:val="22"/>
        </w:rPr>
      </w:pPr>
      <w:r w:rsidRPr="00E76C0C">
        <w:rPr>
          <w:rFonts w:ascii="Arial" w:hAnsi="Arial" w:cs="Arial"/>
          <w:b/>
          <w:bCs w:val="0"/>
          <w:i/>
          <w:iCs/>
          <w:sz w:val="22"/>
          <w:szCs w:val="22"/>
        </w:rPr>
        <w:t>Corporate Sponsor:</w:t>
      </w:r>
    </w:p>
    <w:p w14:paraId="7C78D5AD" w14:textId="77777777" w:rsidR="00A635C1" w:rsidRPr="00E76C0C" w:rsidRDefault="00A635C1" w:rsidP="00A635C1">
      <w:pPr>
        <w:jc w:val="center"/>
        <w:rPr>
          <w:rFonts w:ascii="Arial" w:hAnsi="Arial" w:cs="Arial"/>
          <w:b/>
          <w:bCs w:val="0"/>
          <w:i/>
          <w:iCs/>
          <w:sz w:val="22"/>
          <w:szCs w:val="22"/>
        </w:rPr>
      </w:pPr>
      <w:r>
        <w:rPr>
          <w:rFonts w:ascii="Arial" w:hAnsi="Arial" w:cs="Arial"/>
          <w:b/>
          <w:bCs w:val="0"/>
          <w:i/>
          <w:i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93F28F5" wp14:editId="2712FA33">
            <wp:simplePos x="0" y="0"/>
            <wp:positionH relativeFrom="page">
              <wp:align>center</wp:align>
            </wp:positionH>
            <wp:positionV relativeFrom="paragraph">
              <wp:posOffset>93980</wp:posOffset>
            </wp:positionV>
            <wp:extent cx="563245" cy="609600"/>
            <wp:effectExtent l="0" t="0" r="8255" b="0"/>
            <wp:wrapTight wrapText="bothSides">
              <wp:wrapPolygon edited="0">
                <wp:start x="0" y="0"/>
                <wp:lineTo x="0" y="20925"/>
                <wp:lineTo x="21186" y="20925"/>
                <wp:lineTo x="21186" y="0"/>
                <wp:lineTo x="0" y="0"/>
              </wp:wrapPolygon>
            </wp:wrapTight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784"/>
                    <a:stretch/>
                  </pic:blipFill>
                  <pic:spPr bwMode="auto">
                    <a:xfrm>
                      <a:off x="0" y="0"/>
                      <a:ext cx="5632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2AA45A8" w14:textId="77777777" w:rsidR="00A635C1" w:rsidRPr="00413EC0" w:rsidRDefault="00A635C1" w:rsidP="00A635C1">
      <w:pPr>
        <w:jc w:val="center"/>
        <w:rPr>
          <w:rFonts w:ascii="Arial" w:hAnsi="Arial" w:cs="Arial"/>
          <w:b/>
          <w:bCs w:val="0"/>
          <w:i/>
          <w:iCs/>
          <w:sz w:val="24"/>
          <w:szCs w:val="24"/>
        </w:rPr>
      </w:pPr>
    </w:p>
    <w:p w14:paraId="5817A4BA" w14:textId="2F30D6BD" w:rsidR="00166521" w:rsidRPr="00D54E57" w:rsidRDefault="00166521" w:rsidP="00166521">
      <w:pPr>
        <w:jc w:val="center"/>
        <w:rPr>
          <w:rFonts w:ascii="Arial" w:hAnsi="Arial" w:cs="Arial"/>
          <w:b/>
          <w:bCs w:val="0"/>
          <w:i/>
          <w:iCs/>
          <w:sz w:val="24"/>
          <w:szCs w:val="24"/>
        </w:rPr>
      </w:pPr>
    </w:p>
    <w:p w14:paraId="1E1748C4" w14:textId="77777777" w:rsidR="00166521" w:rsidRPr="00D54E57" w:rsidRDefault="00166521" w:rsidP="00166521">
      <w:pPr>
        <w:rPr>
          <w:rFonts w:ascii="Arial Narrow" w:hAnsi="Arial Narrow" w:cs="Arial"/>
          <w:sz w:val="24"/>
          <w:szCs w:val="24"/>
        </w:rPr>
      </w:pPr>
    </w:p>
    <w:p w14:paraId="7E4F4ED5" w14:textId="5B2B5A83" w:rsidR="00166521" w:rsidRPr="00D54E57" w:rsidRDefault="00166521" w:rsidP="00166521">
      <w:pPr>
        <w:rPr>
          <w:rFonts w:ascii="Arial Narrow" w:hAnsi="Arial Narrow" w:cs="Arial"/>
          <w:sz w:val="24"/>
          <w:szCs w:val="24"/>
        </w:rPr>
      </w:pPr>
    </w:p>
    <w:p w14:paraId="2F39DABB" w14:textId="77777777" w:rsidR="00054C88" w:rsidRDefault="00054C88"/>
    <w:sectPr w:rsidR="00054C88" w:rsidSect="001665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50" w:right="1646" w:bottom="90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FC85" w14:textId="77777777" w:rsidR="0008364D" w:rsidRDefault="0008364D">
      <w:r>
        <w:separator/>
      </w:r>
    </w:p>
  </w:endnote>
  <w:endnote w:type="continuationSeparator" w:id="0">
    <w:p w14:paraId="619981C8" w14:textId="77777777" w:rsidR="0008364D" w:rsidRDefault="0008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5881" w14:textId="77777777" w:rsidR="006240A2" w:rsidRPr="00D54E57" w:rsidRDefault="006240A2" w:rsidP="00166521">
    <w:pPr>
      <w:pStyle w:val="Footer"/>
      <w:numPr>
        <w:ilvl w:val="0"/>
        <w:numId w:val="2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C070" w14:textId="454C8735" w:rsidR="006240A2" w:rsidRPr="00D54E57" w:rsidRDefault="6C11CAFA" w:rsidP="6C11CAFA">
    <w:pPr>
      <w:jc w:val="right"/>
      <w:rPr>
        <w:i/>
        <w:iCs/>
      </w:rPr>
    </w:pPr>
    <w:r w:rsidRPr="6C11CAFA">
      <w:rPr>
        <w:i/>
        <w:iCs/>
      </w:rPr>
      <w:t>The Geological Society of London,</w:t>
    </w:r>
  </w:p>
  <w:p w14:paraId="7751406E" w14:textId="77777777" w:rsidR="006240A2" w:rsidRPr="00D54E57" w:rsidRDefault="006240A2">
    <w:pPr>
      <w:jc w:val="right"/>
      <w:rPr>
        <w:i/>
      </w:rPr>
    </w:pPr>
    <w:r w:rsidRPr="00D54E57">
      <w:rPr>
        <w:i/>
      </w:rPr>
      <w:t>registered charity, number 210161</w:t>
    </w:r>
  </w:p>
  <w:p w14:paraId="0321C190" w14:textId="77777777" w:rsidR="006240A2" w:rsidRPr="00D54E57" w:rsidRDefault="006240A2">
    <w:pPr>
      <w:jc w:val="right"/>
      <w:rPr>
        <w:i/>
      </w:rPr>
    </w:pPr>
    <w:r w:rsidRPr="00D54E57">
      <w:rPr>
        <w:i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2E0E" w14:textId="77777777" w:rsidR="006240A2" w:rsidRPr="00D54E57" w:rsidRDefault="006240A2" w:rsidP="00166521">
    <w:pPr>
      <w:pStyle w:val="Footer"/>
      <w:numPr>
        <w:ilvl w:val="0"/>
        <w:numId w:val="4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3BE2" w14:textId="77777777" w:rsidR="0008364D" w:rsidRDefault="0008364D">
      <w:r>
        <w:separator/>
      </w:r>
    </w:p>
  </w:footnote>
  <w:footnote w:type="continuationSeparator" w:id="0">
    <w:p w14:paraId="0B4A8216" w14:textId="77777777" w:rsidR="0008364D" w:rsidRDefault="0008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AE21" w14:textId="77777777" w:rsidR="006240A2" w:rsidRPr="00D54E57" w:rsidRDefault="006240A2" w:rsidP="00166521">
    <w:pPr>
      <w:pStyle w:val="Header"/>
      <w:numPr>
        <w:ilvl w:val="0"/>
        <w:numId w:val="1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EBEC" w14:textId="77777777" w:rsidR="00285B9C" w:rsidRPr="00880292" w:rsidRDefault="00285B9C" w:rsidP="00285B9C">
    <w:pPr>
      <w:pStyle w:val="Header"/>
      <w:tabs>
        <w:tab w:val="clear" w:pos="4153"/>
        <w:tab w:val="clear" w:pos="8306"/>
        <w:tab w:val="left" w:pos="1560"/>
        <w:tab w:val="left" w:pos="6705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3C29D9F" wp14:editId="4F812728">
          <wp:simplePos x="0" y="0"/>
          <wp:positionH relativeFrom="column">
            <wp:posOffset>5202058</wp:posOffset>
          </wp:positionH>
          <wp:positionV relativeFrom="paragraph">
            <wp:posOffset>-337047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644611436" name="Picture 644611436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11436" name="Picture 644611436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53A483E4" w14:textId="12EB7C9A" w:rsidR="006240A2" w:rsidRPr="00285B9C" w:rsidRDefault="006240A2" w:rsidP="00285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F3D9" w14:textId="77777777" w:rsidR="006240A2" w:rsidRPr="00D54E57" w:rsidRDefault="006240A2" w:rsidP="00166521">
    <w:pPr>
      <w:pStyle w:val="Header"/>
      <w:numPr>
        <w:ilvl w:val="0"/>
        <w:numId w:val="3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274B"/>
    <w:multiLevelType w:val="singleLevel"/>
    <w:tmpl w:val="1AA6CA00"/>
    <w:lvl w:ilvl="0"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2511161"/>
    <w:multiLevelType w:val="singleLevel"/>
    <w:tmpl w:val="1AA6CA00"/>
    <w:lvl w:ilvl="0"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2C01FC2"/>
    <w:multiLevelType w:val="singleLevel"/>
    <w:tmpl w:val="1AA6CA00"/>
    <w:lvl w:ilvl="0"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9BF7983"/>
    <w:multiLevelType w:val="singleLevel"/>
    <w:tmpl w:val="1AA6CA00"/>
    <w:lvl w:ilvl="0">
      <w:numFmt w:val="decimal"/>
      <w:lvlText w:val="%1"/>
      <w:legacy w:legacy="1" w:legacySpace="0" w:legacyIndent="0"/>
      <w:lvlJc w:val="left"/>
    </w:lvl>
  </w:abstractNum>
  <w:num w:numId="1" w16cid:durableId="296222873">
    <w:abstractNumId w:val="1"/>
  </w:num>
  <w:num w:numId="2" w16cid:durableId="2075539769">
    <w:abstractNumId w:val="0"/>
  </w:num>
  <w:num w:numId="3" w16cid:durableId="139426446">
    <w:abstractNumId w:val="3"/>
  </w:num>
  <w:num w:numId="4" w16cid:durableId="184570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21"/>
    <w:rsid w:val="00054C88"/>
    <w:rsid w:val="0008364D"/>
    <w:rsid w:val="0008373F"/>
    <w:rsid w:val="000A3122"/>
    <w:rsid w:val="000A5BBF"/>
    <w:rsid w:val="000B79F2"/>
    <w:rsid w:val="000C2080"/>
    <w:rsid w:val="000C6972"/>
    <w:rsid w:val="000E6328"/>
    <w:rsid w:val="000F1B1C"/>
    <w:rsid w:val="000F2396"/>
    <w:rsid w:val="000F4595"/>
    <w:rsid w:val="00131086"/>
    <w:rsid w:val="00143BF1"/>
    <w:rsid w:val="00166521"/>
    <w:rsid w:val="00175468"/>
    <w:rsid w:val="001818CE"/>
    <w:rsid w:val="00183E0C"/>
    <w:rsid w:val="001B03CA"/>
    <w:rsid w:val="001C051C"/>
    <w:rsid w:val="001F4875"/>
    <w:rsid w:val="001F5993"/>
    <w:rsid w:val="002029BD"/>
    <w:rsid w:val="002076F7"/>
    <w:rsid w:val="00225E9B"/>
    <w:rsid w:val="0022624F"/>
    <w:rsid w:val="002407F0"/>
    <w:rsid w:val="002548A6"/>
    <w:rsid w:val="002572DC"/>
    <w:rsid w:val="002579F6"/>
    <w:rsid w:val="00261BFD"/>
    <w:rsid w:val="00285B9C"/>
    <w:rsid w:val="00285DA6"/>
    <w:rsid w:val="0029085D"/>
    <w:rsid w:val="00292AAE"/>
    <w:rsid w:val="0029385E"/>
    <w:rsid w:val="002A5618"/>
    <w:rsid w:val="002B789A"/>
    <w:rsid w:val="002E5881"/>
    <w:rsid w:val="002F03C7"/>
    <w:rsid w:val="00304F4A"/>
    <w:rsid w:val="00311291"/>
    <w:rsid w:val="00321A8F"/>
    <w:rsid w:val="00365393"/>
    <w:rsid w:val="00383E39"/>
    <w:rsid w:val="00393486"/>
    <w:rsid w:val="003963AC"/>
    <w:rsid w:val="0039708B"/>
    <w:rsid w:val="0039790D"/>
    <w:rsid w:val="003A16F3"/>
    <w:rsid w:val="003B1F24"/>
    <w:rsid w:val="003B7A8D"/>
    <w:rsid w:val="003C2381"/>
    <w:rsid w:val="003D2084"/>
    <w:rsid w:val="003D787D"/>
    <w:rsid w:val="003F5BE0"/>
    <w:rsid w:val="00403971"/>
    <w:rsid w:val="00410BE8"/>
    <w:rsid w:val="0041387D"/>
    <w:rsid w:val="00417099"/>
    <w:rsid w:val="00437165"/>
    <w:rsid w:val="004441FC"/>
    <w:rsid w:val="00446C01"/>
    <w:rsid w:val="004470F3"/>
    <w:rsid w:val="00455C38"/>
    <w:rsid w:val="0046746E"/>
    <w:rsid w:val="00467AA0"/>
    <w:rsid w:val="00493349"/>
    <w:rsid w:val="004A773B"/>
    <w:rsid w:val="004B535D"/>
    <w:rsid w:val="004E01A2"/>
    <w:rsid w:val="004E0AAA"/>
    <w:rsid w:val="00504BAE"/>
    <w:rsid w:val="00516D7A"/>
    <w:rsid w:val="00530335"/>
    <w:rsid w:val="00530DBD"/>
    <w:rsid w:val="00534A74"/>
    <w:rsid w:val="005510CB"/>
    <w:rsid w:val="0055167F"/>
    <w:rsid w:val="005719FF"/>
    <w:rsid w:val="00590679"/>
    <w:rsid w:val="005A14E8"/>
    <w:rsid w:val="005B24F2"/>
    <w:rsid w:val="005C585A"/>
    <w:rsid w:val="005F3CC2"/>
    <w:rsid w:val="00611E69"/>
    <w:rsid w:val="006240A2"/>
    <w:rsid w:val="00637519"/>
    <w:rsid w:val="00650EFB"/>
    <w:rsid w:val="00682F4F"/>
    <w:rsid w:val="006C49E9"/>
    <w:rsid w:val="006C561B"/>
    <w:rsid w:val="006D54AB"/>
    <w:rsid w:val="00704832"/>
    <w:rsid w:val="00712BF2"/>
    <w:rsid w:val="00713AF1"/>
    <w:rsid w:val="00714174"/>
    <w:rsid w:val="00737B66"/>
    <w:rsid w:val="00744E71"/>
    <w:rsid w:val="007802BD"/>
    <w:rsid w:val="00783CC1"/>
    <w:rsid w:val="0078432C"/>
    <w:rsid w:val="007A04D9"/>
    <w:rsid w:val="007A16BE"/>
    <w:rsid w:val="007B5011"/>
    <w:rsid w:val="007C50E0"/>
    <w:rsid w:val="007D258D"/>
    <w:rsid w:val="007D2B3C"/>
    <w:rsid w:val="007F3DD9"/>
    <w:rsid w:val="007F4952"/>
    <w:rsid w:val="007F793D"/>
    <w:rsid w:val="00807843"/>
    <w:rsid w:val="00811694"/>
    <w:rsid w:val="00815B2B"/>
    <w:rsid w:val="00833BA3"/>
    <w:rsid w:val="0085381A"/>
    <w:rsid w:val="00862C08"/>
    <w:rsid w:val="0088517E"/>
    <w:rsid w:val="00892572"/>
    <w:rsid w:val="008D669F"/>
    <w:rsid w:val="009013C4"/>
    <w:rsid w:val="00907B58"/>
    <w:rsid w:val="0091078E"/>
    <w:rsid w:val="00947B8C"/>
    <w:rsid w:val="009648A3"/>
    <w:rsid w:val="00974FDF"/>
    <w:rsid w:val="00975D7D"/>
    <w:rsid w:val="00982EBF"/>
    <w:rsid w:val="00984C46"/>
    <w:rsid w:val="0099156C"/>
    <w:rsid w:val="009A7940"/>
    <w:rsid w:val="00A03F19"/>
    <w:rsid w:val="00A16600"/>
    <w:rsid w:val="00A31FA5"/>
    <w:rsid w:val="00A350ED"/>
    <w:rsid w:val="00A43364"/>
    <w:rsid w:val="00A530FF"/>
    <w:rsid w:val="00A635C1"/>
    <w:rsid w:val="00A63A55"/>
    <w:rsid w:val="00A723EB"/>
    <w:rsid w:val="00A74374"/>
    <w:rsid w:val="00A74D58"/>
    <w:rsid w:val="00A83F39"/>
    <w:rsid w:val="00AA5CCC"/>
    <w:rsid w:val="00AA79AA"/>
    <w:rsid w:val="00AD13A3"/>
    <w:rsid w:val="00AF3905"/>
    <w:rsid w:val="00AF4AA8"/>
    <w:rsid w:val="00AF74D2"/>
    <w:rsid w:val="00B46255"/>
    <w:rsid w:val="00B466B2"/>
    <w:rsid w:val="00B578EB"/>
    <w:rsid w:val="00B612B5"/>
    <w:rsid w:val="00B755C2"/>
    <w:rsid w:val="00B92E23"/>
    <w:rsid w:val="00BC11E9"/>
    <w:rsid w:val="00BE1EA0"/>
    <w:rsid w:val="00BE54C9"/>
    <w:rsid w:val="00C01653"/>
    <w:rsid w:val="00C1239F"/>
    <w:rsid w:val="00C16FCD"/>
    <w:rsid w:val="00C23103"/>
    <w:rsid w:val="00C322B3"/>
    <w:rsid w:val="00C351DC"/>
    <w:rsid w:val="00C35862"/>
    <w:rsid w:val="00C55BD0"/>
    <w:rsid w:val="00C81CCB"/>
    <w:rsid w:val="00C8550B"/>
    <w:rsid w:val="00C87DA1"/>
    <w:rsid w:val="00CB1DBD"/>
    <w:rsid w:val="00CB3F9A"/>
    <w:rsid w:val="00CB55B3"/>
    <w:rsid w:val="00CC14F2"/>
    <w:rsid w:val="00CF2B53"/>
    <w:rsid w:val="00D13334"/>
    <w:rsid w:val="00D15CC0"/>
    <w:rsid w:val="00D27A90"/>
    <w:rsid w:val="00D404FF"/>
    <w:rsid w:val="00D47D3D"/>
    <w:rsid w:val="00D57E8B"/>
    <w:rsid w:val="00D8520A"/>
    <w:rsid w:val="00D91AE7"/>
    <w:rsid w:val="00DA532F"/>
    <w:rsid w:val="00DC28A2"/>
    <w:rsid w:val="00E3588C"/>
    <w:rsid w:val="00E42BBD"/>
    <w:rsid w:val="00E438FA"/>
    <w:rsid w:val="00E511EC"/>
    <w:rsid w:val="00E551D4"/>
    <w:rsid w:val="00E56B01"/>
    <w:rsid w:val="00E6203E"/>
    <w:rsid w:val="00E76162"/>
    <w:rsid w:val="00E87B99"/>
    <w:rsid w:val="00E92FF7"/>
    <w:rsid w:val="00E94794"/>
    <w:rsid w:val="00E97FD5"/>
    <w:rsid w:val="00EB28C2"/>
    <w:rsid w:val="00F22FC9"/>
    <w:rsid w:val="00F403D2"/>
    <w:rsid w:val="00F63ECA"/>
    <w:rsid w:val="00F962EF"/>
    <w:rsid w:val="00F96796"/>
    <w:rsid w:val="00FA2599"/>
    <w:rsid w:val="00FA3D77"/>
    <w:rsid w:val="00FB5C37"/>
    <w:rsid w:val="00FB7C76"/>
    <w:rsid w:val="00FC31A6"/>
    <w:rsid w:val="1F0DF257"/>
    <w:rsid w:val="33ABBECD"/>
    <w:rsid w:val="39D463B7"/>
    <w:rsid w:val="3A2B8843"/>
    <w:rsid w:val="408290B6"/>
    <w:rsid w:val="4BA57F1D"/>
    <w:rsid w:val="4BF21D59"/>
    <w:rsid w:val="5220F5B6"/>
    <w:rsid w:val="61CAE32F"/>
    <w:rsid w:val="68680A9E"/>
    <w:rsid w:val="6B9CFC54"/>
    <w:rsid w:val="6C11CAFA"/>
    <w:rsid w:val="75353D5A"/>
    <w:rsid w:val="7822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91720"/>
  <w15:chartTrackingRefBased/>
  <w15:docId w15:val="{13568CC3-470F-4E16-880E-5B384F2F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FF7"/>
    <w:pPr>
      <w:spacing w:after="0" w:line="240" w:lineRule="auto"/>
    </w:pPr>
    <w:rPr>
      <w:rFonts w:ascii="Optima" w:eastAsia="Times New Roman" w:hAnsi="Optima" w:cs="Times New Roman"/>
      <w:bCs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6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6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6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16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16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665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1665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1665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1665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5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6652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166521"/>
    <w:rPr>
      <w:rFonts w:ascii="Optima" w:eastAsia="Times New Roman" w:hAnsi="Optima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16652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bCs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66521"/>
    <w:rPr>
      <w:rFonts w:ascii="Optima" w:eastAsia="Times New Roman" w:hAnsi="Optima" w:cs="Times New Roman"/>
      <w:kern w:val="0"/>
      <w:szCs w:val="20"/>
      <w14:ligatures w14:val="none"/>
    </w:rPr>
  </w:style>
  <w:style w:type="table" w:styleId="TableGrid">
    <w:name w:val="Table Grid"/>
    <w:basedOn w:val="TableNormal"/>
    <w:rsid w:val="001665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cced3b-310d-45b8-97bf-d36cbbb5d34b">
      <Terms xmlns="http://schemas.microsoft.com/office/infopath/2007/PartnerControls"/>
    </lcf76f155ced4ddcb4097134ff3c332f>
    <TaxCatchAll xmlns="991330b7-a67c-4846-8b6a-4c888ec257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B4D28DC30974F8DF13AF3195573DD" ma:contentTypeVersion="19" ma:contentTypeDescription="Create a new document." ma:contentTypeScope="" ma:versionID="8a02efd140bce291c4ac081751c44d03">
  <xsd:schema xmlns:xsd="http://www.w3.org/2001/XMLSchema" xmlns:xs="http://www.w3.org/2001/XMLSchema" xmlns:p="http://schemas.microsoft.com/office/2006/metadata/properties" xmlns:ns2="f0cced3b-310d-45b8-97bf-d36cbbb5d34b" xmlns:ns3="991330b7-a67c-4846-8b6a-4c888ec2572d" targetNamespace="http://schemas.microsoft.com/office/2006/metadata/properties" ma:root="true" ma:fieldsID="87bb65bfd4c6149c70e47be57f9731d0" ns2:_="" ns3:_="">
    <xsd:import namespace="f0cced3b-310d-45b8-97bf-d36cbbb5d34b"/>
    <xsd:import namespace="991330b7-a67c-4846-8b6a-4c888ec25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ced3b-310d-45b8-97bf-d36cbbb5d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30b7-a67c-4846-8b6a-4c888ec25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713338-f4c9-475c-b815-42b06cf0f9fe}" ma:internalName="TaxCatchAll" ma:showField="CatchAllData" ma:web="991330b7-a67c-4846-8b6a-4c888ec25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87805-DC05-4B7C-830B-BC316A030A82}">
  <ds:schemaRefs>
    <ds:schemaRef ds:uri="http://schemas.microsoft.com/office/2006/metadata/properties"/>
    <ds:schemaRef ds:uri="http://schemas.microsoft.com/office/infopath/2007/PartnerControls"/>
    <ds:schemaRef ds:uri="f0cced3b-310d-45b8-97bf-d36cbbb5d34b"/>
    <ds:schemaRef ds:uri="991330b7-a67c-4846-8b6a-4c888ec2572d"/>
  </ds:schemaRefs>
</ds:datastoreItem>
</file>

<file path=customXml/itemProps2.xml><?xml version="1.0" encoding="utf-8"?>
<ds:datastoreItem xmlns:ds="http://schemas.openxmlformats.org/officeDocument/2006/customXml" ds:itemID="{CB77AC1C-096F-4675-B785-4D8441B70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ced3b-310d-45b8-97bf-d36cbbb5d34b"/>
    <ds:schemaRef ds:uri="991330b7-a67c-4846-8b6a-4c888ec25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3B156-9E69-4C42-A3B7-E26D62929D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9C0380-998A-45DD-8A75-B1EC7E634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Nagem</dc:creator>
  <cp:keywords/>
  <dc:description/>
  <cp:lastModifiedBy>Samira Bashar</cp:lastModifiedBy>
  <cp:revision>22</cp:revision>
  <cp:lastPrinted>2025-08-26T02:09:00Z</cp:lastPrinted>
  <dcterms:created xsi:type="dcterms:W3CDTF">2025-08-26T00:38:00Z</dcterms:created>
  <dcterms:modified xsi:type="dcterms:W3CDTF">2025-09-03T07:30:00Z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0x0101002AAB4D28DC30974F8DF13AF3195573DD</vt:lpwstr>
  </property>
  <property fmtid="{D5CDD505-2E9C-101B-9397-08002B2CF9AE}" pid="3" name="MediaServiceImageTags">
    <vt:lpwstr/>
  </property>
</Properties>
</file>